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D2B08">
      <w:pPr>
        <w:pStyle w:val="3"/>
        <w:spacing w:before="0" w:after="0" w:line="240" w:lineRule="auto"/>
        <w:jc w:val="left"/>
        <w:rPr>
          <w:rFonts w:hint="eastAsia" w:ascii="仿宋" w:hAnsi="仿宋" w:eastAsia="仿宋" w:cs="宋体"/>
          <w:b/>
          <w:bCs/>
          <w:kern w:val="0"/>
          <w:sz w:val="36"/>
          <w:szCs w:val="36"/>
          <w:lang w:val="en-US" w:eastAsia="zh-CN"/>
        </w:rPr>
      </w:pPr>
      <w:bookmarkStart w:id="2" w:name="_GoBack"/>
      <w:bookmarkEnd w:id="2"/>
      <w:bookmarkStart w:id="0" w:name="_Toc8285"/>
      <w:r>
        <w:rPr>
          <w:rFonts w:hint="eastAsia" w:ascii="仿宋" w:hAnsi="仿宋" w:eastAsia="仿宋" w:cs="宋体"/>
          <w:b/>
          <w:bCs/>
          <w:kern w:val="0"/>
          <w:sz w:val="36"/>
          <w:szCs w:val="36"/>
          <w:lang w:val="en-US" w:eastAsia="zh-CN"/>
        </w:rPr>
        <w:t>附件一</w:t>
      </w:r>
    </w:p>
    <w:p w14:paraId="54B9C451">
      <w:pPr>
        <w:pStyle w:val="3"/>
        <w:spacing w:before="0" w:after="0" w:line="240" w:lineRule="auto"/>
        <w:jc w:val="center"/>
        <w:rPr>
          <w:rFonts w:hint="eastAsia" w:ascii="宋体" w:hAnsi="宋体" w:eastAsia="宋体" w:cs="宋体"/>
          <w:sz w:val="36"/>
          <w:szCs w:val="36"/>
        </w:rPr>
      </w:pPr>
      <w:r>
        <w:rPr>
          <w:rFonts w:hint="eastAsia" w:ascii="宋体" w:hAnsi="宋体" w:eastAsia="宋体" w:cs="宋体"/>
          <w:sz w:val="36"/>
          <w:szCs w:val="36"/>
        </w:rPr>
        <w:t>韶关市农用地土壤重金属污染溯源项目（2025年）</w:t>
      </w:r>
    </w:p>
    <w:p w14:paraId="72C402FD">
      <w:pPr>
        <w:pStyle w:val="3"/>
        <w:spacing w:line="360" w:lineRule="auto"/>
        <w:jc w:val="center"/>
        <w:rPr>
          <w:rFonts w:hint="eastAsia" w:ascii="宋体" w:hAnsi="宋体" w:eastAsia="宋体" w:cs="宋体"/>
        </w:rPr>
      </w:pPr>
      <w:r>
        <w:rPr>
          <w:rFonts w:hint="eastAsia" w:ascii="宋体" w:hAnsi="宋体" w:eastAsia="宋体" w:cs="宋体"/>
          <w:sz w:val="36"/>
          <w:szCs w:val="36"/>
        </w:rPr>
        <w:t>采购需求</w:t>
      </w:r>
      <w:bookmarkEnd w:id="0"/>
    </w:p>
    <w:p w14:paraId="7753BF81">
      <w:pPr>
        <w:spacing w:line="440" w:lineRule="exact"/>
        <w:ind w:right="-197"/>
        <w:jc w:val="left"/>
        <w:textAlignment w:val="baseline"/>
        <w:rPr>
          <w:rStyle w:val="47"/>
          <w:rFonts w:hint="eastAsia" w:ascii="宋体" w:hAnsi="宋体" w:cs="宋体"/>
          <w:b/>
          <w:bCs/>
          <w:szCs w:val="21"/>
        </w:rPr>
      </w:pPr>
      <w:bookmarkStart w:id="1" w:name="_Toc22929"/>
      <w:r>
        <w:rPr>
          <w:rStyle w:val="47"/>
          <w:rFonts w:hint="eastAsia" w:ascii="宋体" w:hAnsi="宋体" w:cs="宋体"/>
          <w:b/>
          <w:bCs/>
          <w:szCs w:val="21"/>
        </w:rPr>
        <w:t>一、项目基本情况</w:t>
      </w:r>
      <w:bookmarkEnd w:id="1"/>
    </w:p>
    <w:tbl>
      <w:tblPr>
        <w:tblStyle w:val="23"/>
        <w:tblW w:w="52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413"/>
      </w:tblGrid>
      <w:tr w14:paraId="0267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94" w:type="pct"/>
            <w:vAlign w:val="center"/>
          </w:tcPr>
          <w:p w14:paraId="42209463">
            <w:pPr>
              <w:jc w:val="center"/>
              <w:rPr>
                <w:rFonts w:hint="eastAsia" w:ascii="宋体" w:hAnsi="宋体" w:eastAsia="宋体" w:cs="宋体"/>
                <w:szCs w:val="21"/>
              </w:rPr>
            </w:pPr>
            <w:r>
              <w:rPr>
                <w:rFonts w:hint="eastAsia" w:ascii="宋体" w:hAnsi="宋体" w:eastAsia="宋体" w:cs="宋体"/>
                <w:szCs w:val="21"/>
              </w:rPr>
              <w:t>项目名称</w:t>
            </w:r>
          </w:p>
        </w:tc>
        <w:tc>
          <w:tcPr>
            <w:tcW w:w="3605" w:type="pct"/>
          </w:tcPr>
          <w:p w14:paraId="5D8A355F">
            <w:pPr>
              <w:rPr>
                <w:rFonts w:hint="eastAsia" w:ascii="宋体" w:hAnsi="宋体" w:eastAsia="宋体" w:cs="宋体"/>
                <w:b/>
                <w:bCs/>
                <w:sz w:val="28"/>
                <w:szCs w:val="28"/>
              </w:rPr>
            </w:pPr>
            <w:r>
              <w:rPr>
                <w:rFonts w:hint="eastAsia" w:ascii="宋体" w:hAnsi="宋体" w:eastAsia="宋体" w:cs="宋体"/>
                <w:szCs w:val="21"/>
              </w:rPr>
              <w:t>韶关市农用地土壤重金属污染溯源项目（2025年）</w:t>
            </w:r>
          </w:p>
        </w:tc>
      </w:tr>
      <w:tr w14:paraId="110E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94" w:type="pct"/>
            <w:vAlign w:val="center"/>
          </w:tcPr>
          <w:p w14:paraId="2FB81ADE">
            <w:pPr>
              <w:jc w:val="left"/>
              <w:rPr>
                <w:rFonts w:hint="eastAsia" w:ascii="宋体" w:hAnsi="宋体" w:eastAsia="宋体" w:cs="宋体"/>
                <w:szCs w:val="21"/>
              </w:rPr>
            </w:pPr>
            <w:r>
              <w:rPr>
                <w:rFonts w:hint="eastAsia" w:ascii="宋体" w:hAnsi="宋体" w:eastAsia="宋体" w:cs="宋体"/>
                <w:szCs w:val="21"/>
              </w:rPr>
              <w:t>项目预算（单位：元）</w:t>
            </w:r>
          </w:p>
        </w:tc>
        <w:tc>
          <w:tcPr>
            <w:tcW w:w="3605" w:type="pct"/>
          </w:tcPr>
          <w:p w14:paraId="46C48E61">
            <w:pPr>
              <w:jc w:val="left"/>
              <w:rPr>
                <w:rFonts w:hint="eastAsia" w:ascii="宋体" w:hAnsi="宋体" w:eastAsia="宋体" w:cs="宋体"/>
                <w:szCs w:val="21"/>
              </w:rPr>
            </w:pPr>
            <w:r>
              <w:rPr>
                <w:rFonts w:hint="eastAsia" w:ascii="宋体" w:hAnsi="宋体" w:eastAsia="宋体" w:cs="宋体"/>
                <w:szCs w:val="21"/>
              </w:rPr>
              <w:t>6660000.00</w:t>
            </w:r>
          </w:p>
        </w:tc>
      </w:tr>
      <w:tr w14:paraId="4403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94" w:type="pct"/>
            <w:vAlign w:val="center"/>
          </w:tcPr>
          <w:p w14:paraId="5426C5B4">
            <w:pPr>
              <w:jc w:val="center"/>
              <w:rPr>
                <w:rFonts w:hint="eastAsia" w:ascii="宋体" w:hAnsi="宋体" w:eastAsia="宋体" w:cs="宋体"/>
                <w:szCs w:val="21"/>
              </w:rPr>
            </w:pPr>
            <w:r>
              <w:rPr>
                <w:rFonts w:hint="eastAsia" w:ascii="宋体" w:hAnsi="宋体" w:eastAsia="宋体" w:cs="宋体"/>
                <w:szCs w:val="21"/>
              </w:rPr>
              <w:t>采购人单位</w:t>
            </w:r>
          </w:p>
        </w:tc>
        <w:tc>
          <w:tcPr>
            <w:tcW w:w="3605" w:type="pct"/>
          </w:tcPr>
          <w:p w14:paraId="75184C97">
            <w:pPr>
              <w:rPr>
                <w:rFonts w:hint="eastAsia" w:ascii="宋体" w:hAnsi="宋体" w:eastAsia="宋体" w:cs="宋体"/>
                <w:szCs w:val="21"/>
              </w:rPr>
            </w:pPr>
            <w:r>
              <w:rPr>
                <w:rFonts w:hint="eastAsia" w:ascii="宋体" w:hAnsi="宋体" w:eastAsia="宋体" w:cs="宋体"/>
                <w:szCs w:val="21"/>
              </w:rPr>
              <w:t>韶关市生态环境局</w:t>
            </w:r>
          </w:p>
        </w:tc>
      </w:tr>
    </w:tbl>
    <w:p w14:paraId="679F0A4B">
      <w:pPr>
        <w:ind w:right="-197"/>
        <w:jc w:val="left"/>
        <w:textAlignment w:val="baseline"/>
        <w:rPr>
          <w:rStyle w:val="47"/>
          <w:rFonts w:hint="eastAsia" w:ascii="宋体" w:hAnsi="宋体" w:cs="宋体"/>
          <w:b/>
          <w:bCs/>
          <w:szCs w:val="21"/>
        </w:rPr>
      </w:pPr>
    </w:p>
    <w:p w14:paraId="71857A17">
      <w:pPr>
        <w:ind w:right="-197"/>
        <w:jc w:val="left"/>
        <w:textAlignment w:val="baseline"/>
        <w:rPr>
          <w:rStyle w:val="47"/>
          <w:rFonts w:hint="eastAsia" w:ascii="宋体" w:hAnsi="宋体" w:cs="宋体"/>
          <w:b/>
          <w:bCs/>
          <w:szCs w:val="21"/>
        </w:rPr>
      </w:pPr>
      <w:r>
        <w:rPr>
          <w:rStyle w:val="47"/>
          <w:rFonts w:hint="eastAsia" w:ascii="宋体" w:hAnsi="宋体" w:cs="宋体"/>
          <w:b/>
          <w:bCs/>
          <w:szCs w:val="21"/>
        </w:rPr>
        <w:t xml:space="preserve">二、项目概况 </w:t>
      </w:r>
    </w:p>
    <w:p w14:paraId="64B4F45F">
      <w:pPr>
        <w:ind w:right="-197"/>
        <w:jc w:val="left"/>
        <w:textAlignment w:val="baseline"/>
        <w:rPr>
          <w:rFonts w:hint="eastAsia" w:ascii="宋体" w:hAnsi="宋体" w:eastAsia="宋体" w:cs="宋体"/>
          <w:szCs w:val="21"/>
        </w:rPr>
      </w:pPr>
      <w:r>
        <w:rPr>
          <w:rStyle w:val="47"/>
          <w:rFonts w:hint="eastAsia" w:ascii="宋体" w:hAnsi="宋体" w:cs="宋体"/>
          <w:b/>
          <w:bCs/>
          <w:szCs w:val="21"/>
        </w:rPr>
        <w:t>采购需求一览表</w:t>
      </w:r>
    </w:p>
    <w:tbl>
      <w:tblPr>
        <w:tblStyle w:val="22"/>
        <w:tblW w:w="4998"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5"/>
        <w:gridCol w:w="3211"/>
        <w:gridCol w:w="824"/>
        <w:gridCol w:w="1696"/>
        <w:gridCol w:w="2327"/>
      </w:tblGrid>
      <w:tr w14:paraId="23A785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67" w:type="pct"/>
            <w:tcBorders>
              <w:top w:val="single" w:color="000000" w:sz="8" w:space="0"/>
              <w:left w:val="single" w:color="000000" w:sz="8" w:space="0"/>
              <w:bottom w:val="single" w:color="000000" w:sz="4" w:space="0"/>
              <w:right w:val="single" w:color="000000" w:sz="4" w:space="0"/>
            </w:tcBorders>
            <w:vAlign w:val="center"/>
          </w:tcPr>
          <w:p w14:paraId="278B8C64">
            <w:pPr>
              <w:jc w:val="center"/>
              <w:rPr>
                <w:rFonts w:hint="eastAsia" w:ascii="宋体" w:hAnsi="宋体" w:eastAsia="宋体" w:cs="宋体"/>
                <w:b/>
                <w:szCs w:val="21"/>
              </w:rPr>
            </w:pPr>
            <w:r>
              <w:rPr>
                <w:rFonts w:hint="eastAsia" w:ascii="宋体" w:hAnsi="宋体" w:eastAsia="宋体" w:cs="宋体"/>
                <w:b/>
                <w:szCs w:val="21"/>
              </w:rPr>
              <w:t>序号</w:t>
            </w:r>
          </w:p>
        </w:tc>
        <w:tc>
          <w:tcPr>
            <w:tcW w:w="1886" w:type="pct"/>
            <w:tcBorders>
              <w:top w:val="single" w:color="000000" w:sz="8" w:space="0"/>
              <w:left w:val="single" w:color="000000" w:sz="4" w:space="0"/>
              <w:bottom w:val="single" w:color="000000" w:sz="4" w:space="0"/>
              <w:right w:val="single" w:color="000000" w:sz="4" w:space="0"/>
            </w:tcBorders>
            <w:vAlign w:val="center"/>
          </w:tcPr>
          <w:p w14:paraId="6E5175EE">
            <w:pPr>
              <w:jc w:val="center"/>
              <w:rPr>
                <w:rFonts w:hint="eastAsia" w:ascii="宋体" w:hAnsi="宋体" w:eastAsia="宋体" w:cs="宋体"/>
                <w:b/>
                <w:szCs w:val="21"/>
              </w:rPr>
            </w:pPr>
            <w:r>
              <w:rPr>
                <w:rFonts w:hint="eastAsia" w:ascii="宋体" w:hAnsi="宋体" w:eastAsia="宋体" w:cs="宋体"/>
                <w:b/>
                <w:szCs w:val="21"/>
              </w:rPr>
              <w:t>采购内容</w:t>
            </w:r>
          </w:p>
        </w:tc>
        <w:tc>
          <w:tcPr>
            <w:tcW w:w="484" w:type="pct"/>
            <w:tcBorders>
              <w:top w:val="single" w:color="000000" w:sz="8" w:space="0"/>
              <w:left w:val="single" w:color="000000" w:sz="4" w:space="0"/>
              <w:bottom w:val="single" w:color="000000" w:sz="4" w:space="0"/>
              <w:right w:val="single" w:color="000000" w:sz="4" w:space="0"/>
            </w:tcBorders>
            <w:vAlign w:val="center"/>
          </w:tcPr>
          <w:p w14:paraId="348F0996">
            <w:pPr>
              <w:jc w:val="center"/>
              <w:rPr>
                <w:rFonts w:hint="eastAsia" w:ascii="宋体" w:hAnsi="宋体" w:eastAsia="宋体" w:cs="宋体"/>
                <w:b/>
                <w:szCs w:val="21"/>
              </w:rPr>
            </w:pPr>
            <w:r>
              <w:rPr>
                <w:rFonts w:hint="eastAsia" w:ascii="宋体" w:hAnsi="宋体" w:eastAsia="宋体" w:cs="宋体"/>
                <w:b/>
                <w:szCs w:val="21"/>
              </w:rPr>
              <w:t>数量</w:t>
            </w:r>
          </w:p>
        </w:tc>
        <w:tc>
          <w:tcPr>
            <w:tcW w:w="996" w:type="pct"/>
            <w:tcBorders>
              <w:top w:val="single" w:color="000000" w:sz="8" w:space="0"/>
              <w:left w:val="single" w:color="000000" w:sz="4" w:space="0"/>
              <w:bottom w:val="single" w:color="000000" w:sz="4" w:space="0"/>
              <w:right w:val="single" w:color="000000" w:sz="8" w:space="0"/>
            </w:tcBorders>
            <w:vAlign w:val="center"/>
          </w:tcPr>
          <w:p w14:paraId="3A33DA50">
            <w:pPr>
              <w:jc w:val="center"/>
              <w:rPr>
                <w:rFonts w:hint="eastAsia" w:ascii="宋体" w:hAnsi="宋体" w:eastAsia="宋体" w:cs="宋体"/>
                <w:b/>
                <w:szCs w:val="21"/>
              </w:rPr>
            </w:pPr>
            <w:r>
              <w:rPr>
                <w:rFonts w:hint="eastAsia" w:ascii="宋体" w:hAnsi="宋体" w:eastAsia="宋体" w:cs="宋体"/>
                <w:b/>
                <w:szCs w:val="21"/>
              </w:rPr>
              <w:t>预算金额</w:t>
            </w:r>
          </w:p>
        </w:tc>
        <w:tc>
          <w:tcPr>
            <w:tcW w:w="1367" w:type="pct"/>
            <w:tcBorders>
              <w:top w:val="single" w:color="000000" w:sz="8" w:space="0"/>
              <w:left w:val="single" w:color="000000" w:sz="4" w:space="0"/>
              <w:bottom w:val="single" w:color="000000" w:sz="4" w:space="0"/>
              <w:right w:val="single" w:color="000000" w:sz="8" w:space="0"/>
            </w:tcBorders>
            <w:vAlign w:val="center"/>
          </w:tcPr>
          <w:p w14:paraId="20DE258B">
            <w:pPr>
              <w:jc w:val="center"/>
              <w:rPr>
                <w:rFonts w:hint="eastAsia" w:ascii="宋体" w:hAnsi="宋体" w:eastAsia="宋体" w:cs="宋体"/>
                <w:b/>
                <w:szCs w:val="21"/>
              </w:rPr>
            </w:pPr>
            <w:r>
              <w:rPr>
                <w:rFonts w:hint="eastAsia" w:ascii="宋体" w:hAnsi="宋体" w:eastAsia="宋体" w:cs="宋体"/>
                <w:b/>
                <w:szCs w:val="21"/>
              </w:rPr>
              <w:t>完成期</w:t>
            </w:r>
          </w:p>
        </w:tc>
      </w:tr>
      <w:tr w14:paraId="49DCFC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67" w:type="pct"/>
            <w:tcBorders>
              <w:top w:val="single" w:color="000000" w:sz="4" w:space="0"/>
              <w:left w:val="single" w:color="000000" w:sz="8" w:space="0"/>
              <w:bottom w:val="single" w:color="000000" w:sz="4" w:space="0"/>
              <w:right w:val="single" w:color="000000" w:sz="4" w:space="0"/>
            </w:tcBorders>
            <w:vAlign w:val="center"/>
          </w:tcPr>
          <w:p w14:paraId="70D96440">
            <w:pPr>
              <w:jc w:val="center"/>
              <w:rPr>
                <w:rFonts w:hint="eastAsia" w:ascii="宋体" w:hAnsi="宋体" w:eastAsia="宋体" w:cs="宋体"/>
                <w:szCs w:val="21"/>
              </w:rPr>
            </w:pPr>
            <w:r>
              <w:rPr>
                <w:rFonts w:hint="eastAsia" w:ascii="宋体" w:hAnsi="宋体" w:eastAsia="宋体" w:cs="宋体"/>
                <w:szCs w:val="21"/>
              </w:rPr>
              <w:t>1</w:t>
            </w:r>
          </w:p>
        </w:tc>
        <w:tc>
          <w:tcPr>
            <w:tcW w:w="1886" w:type="pct"/>
            <w:tcBorders>
              <w:top w:val="single" w:color="000000" w:sz="4" w:space="0"/>
              <w:left w:val="single" w:color="000000" w:sz="4" w:space="0"/>
              <w:bottom w:val="single" w:color="000000" w:sz="4" w:space="0"/>
              <w:right w:val="single" w:color="000000" w:sz="4" w:space="0"/>
            </w:tcBorders>
            <w:vAlign w:val="center"/>
          </w:tcPr>
          <w:p w14:paraId="0A4F2A18">
            <w:pPr>
              <w:jc w:val="center"/>
              <w:rPr>
                <w:rFonts w:hint="eastAsia" w:ascii="宋体" w:hAnsi="宋体" w:eastAsia="宋体" w:cs="宋体"/>
                <w:szCs w:val="21"/>
              </w:rPr>
            </w:pPr>
            <w:r>
              <w:rPr>
                <w:rFonts w:hint="eastAsia" w:ascii="宋体" w:hAnsi="宋体" w:eastAsia="宋体" w:cs="宋体"/>
                <w:szCs w:val="21"/>
              </w:rPr>
              <w:t>韶关市浈江区、仁化县农用地土壤重金属污染溯源项目（2025年）</w:t>
            </w:r>
          </w:p>
        </w:tc>
        <w:tc>
          <w:tcPr>
            <w:tcW w:w="484" w:type="pct"/>
            <w:tcBorders>
              <w:top w:val="single" w:color="000000" w:sz="4" w:space="0"/>
              <w:left w:val="single" w:color="000000" w:sz="4" w:space="0"/>
              <w:bottom w:val="single" w:color="000000" w:sz="4" w:space="0"/>
              <w:right w:val="single" w:color="000000" w:sz="4" w:space="0"/>
            </w:tcBorders>
            <w:vAlign w:val="center"/>
          </w:tcPr>
          <w:p w14:paraId="062B78A4">
            <w:pPr>
              <w:jc w:val="center"/>
              <w:rPr>
                <w:rFonts w:hint="eastAsia" w:ascii="宋体" w:hAnsi="宋体" w:eastAsia="宋体" w:cs="宋体"/>
                <w:szCs w:val="21"/>
              </w:rPr>
            </w:pPr>
            <w:r>
              <w:rPr>
                <w:rFonts w:hint="eastAsia" w:ascii="宋体" w:hAnsi="宋体" w:eastAsia="宋体" w:cs="宋体"/>
                <w:szCs w:val="21"/>
              </w:rPr>
              <w:t>1项</w:t>
            </w:r>
          </w:p>
        </w:tc>
        <w:tc>
          <w:tcPr>
            <w:tcW w:w="996" w:type="pct"/>
            <w:tcBorders>
              <w:top w:val="single" w:color="000000" w:sz="4" w:space="0"/>
              <w:left w:val="single" w:color="000000" w:sz="4" w:space="0"/>
              <w:bottom w:val="single" w:color="000000" w:sz="4" w:space="0"/>
              <w:right w:val="single" w:color="000000" w:sz="8" w:space="0"/>
            </w:tcBorders>
            <w:vAlign w:val="center"/>
          </w:tcPr>
          <w:p w14:paraId="33A71CA3">
            <w:pPr>
              <w:jc w:val="center"/>
              <w:rPr>
                <w:rFonts w:hint="eastAsia" w:ascii="宋体" w:hAnsi="宋体" w:eastAsia="宋体" w:cs="宋体"/>
                <w:szCs w:val="21"/>
              </w:rPr>
            </w:pPr>
            <w:r>
              <w:rPr>
                <w:rFonts w:hint="eastAsia" w:ascii="宋体" w:hAnsi="宋体" w:eastAsia="宋体" w:cs="宋体"/>
                <w:szCs w:val="21"/>
              </w:rPr>
              <w:t>3510000.00</w:t>
            </w:r>
          </w:p>
        </w:tc>
        <w:tc>
          <w:tcPr>
            <w:tcW w:w="1367" w:type="pct"/>
            <w:tcBorders>
              <w:top w:val="single" w:color="000000" w:sz="4" w:space="0"/>
              <w:left w:val="single" w:color="000000" w:sz="4" w:space="0"/>
              <w:bottom w:val="single" w:color="000000" w:sz="4" w:space="0"/>
              <w:right w:val="single" w:color="000000" w:sz="8" w:space="0"/>
            </w:tcBorders>
            <w:vAlign w:val="center"/>
          </w:tcPr>
          <w:p w14:paraId="77295627">
            <w:pPr>
              <w:jc w:val="center"/>
              <w:rPr>
                <w:rFonts w:hint="eastAsia" w:ascii="宋体" w:hAnsi="宋体" w:eastAsia="宋体" w:cs="宋体"/>
                <w:szCs w:val="21"/>
              </w:rPr>
            </w:pPr>
            <w:r>
              <w:rPr>
                <w:rFonts w:hint="eastAsia" w:ascii="宋体" w:hAnsi="宋体" w:eastAsia="宋体" w:cs="宋体"/>
                <w:szCs w:val="21"/>
              </w:rPr>
              <w:t>自合同签订之日起至2025年12月31日止</w:t>
            </w:r>
          </w:p>
        </w:tc>
      </w:tr>
      <w:tr w14:paraId="6451EE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67" w:type="pct"/>
            <w:tcBorders>
              <w:top w:val="single" w:color="000000" w:sz="4" w:space="0"/>
              <w:left w:val="single" w:color="000000" w:sz="8" w:space="0"/>
              <w:bottom w:val="single" w:color="000000" w:sz="4" w:space="0"/>
              <w:right w:val="single" w:color="000000" w:sz="4" w:space="0"/>
            </w:tcBorders>
            <w:vAlign w:val="center"/>
          </w:tcPr>
          <w:p w14:paraId="15365B20">
            <w:pPr>
              <w:jc w:val="center"/>
              <w:rPr>
                <w:rFonts w:hint="eastAsia" w:ascii="宋体" w:hAnsi="宋体" w:eastAsia="宋体" w:cs="宋体"/>
                <w:szCs w:val="21"/>
              </w:rPr>
            </w:pPr>
            <w:r>
              <w:rPr>
                <w:rFonts w:hint="eastAsia" w:ascii="宋体" w:hAnsi="宋体" w:eastAsia="宋体" w:cs="宋体"/>
                <w:szCs w:val="21"/>
              </w:rPr>
              <w:t>2</w:t>
            </w:r>
          </w:p>
        </w:tc>
        <w:tc>
          <w:tcPr>
            <w:tcW w:w="1886" w:type="pct"/>
            <w:tcBorders>
              <w:top w:val="single" w:color="000000" w:sz="4" w:space="0"/>
              <w:left w:val="single" w:color="000000" w:sz="4" w:space="0"/>
              <w:bottom w:val="single" w:color="000000" w:sz="4" w:space="0"/>
              <w:right w:val="single" w:color="000000" w:sz="4" w:space="0"/>
            </w:tcBorders>
            <w:vAlign w:val="center"/>
          </w:tcPr>
          <w:p w14:paraId="6A9495A5">
            <w:pPr>
              <w:jc w:val="center"/>
              <w:rPr>
                <w:rFonts w:hint="eastAsia" w:ascii="宋体" w:hAnsi="宋体" w:eastAsia="宋体" w:cs="宋体"/>
                <w:szCs w:val="21"/>
              </w:rPr>
            </w:pPr>
            <w:r>
              <w:rPr>
                <w:rFonts w:hint="eastAsia" w:ascii="宋体" w:hAnsi="宋体" w:eastAsia="宋体" w:cs="宋体"/>
                <w:szCs w:val="21"/>
              </w:rPr>
              <w:t>韶关市武江区、翁源县农用地土壤重金属污染溯源项目（2025年）</w:t>
            </w:r>
          </w:p>
        </w:tc>
        <w:tc>
          <w:tcPr>
            <w:tcW w:w="484" w:type="pct"/>
            <w:tcBorders>
              <w:top w:val="single" w:color="000000" w:sz="4" w:space="0"/>
              <w:left w:val="single" w:color="000000" w:sz="4" w:space="0"/>
              <w:bottom w:val="single" w:color="000000" w:sz="4" w:space="0"/>
              <w:right w:val="single" w:color="000000" w:sz="4" w:space="0"/>
            </w:tcBorders>
            <w:vAlign w:val="center"/>
          </w:tcPr>
          <w:p w14:paraId="230C4744">
            <w:pPr>
              <w:jc w:val="center"/>
              <w:rPr>
                <w:rFonts w:hint="eastAsia" w:ascii="宋体" w:hAnsi="宋体" w:eastAsia="宋体" w:cs="宋体"/>
                <w:szCs w:val="21"/>
              </w:rPr>
            </w:pPr>
            <w:r>
              <w:rPr>
                <w:rFonts w:hint="eastAsia" w:ascii="宋体" w:hAnsi="宋体" w:eastAsia="宋体" w:cs="宋体"/>
                <w:szCs w:val="21"/>
              </w:rPr>
              <w:t>1项</w:t>
            </w:r>
          </w:p>
        </w:tc>
        <w:tc>
          <w:tcPr>
            <w:tcW w:w="996" w:type="pct"/>
            <w:tcBorders>
              <w:top w:val="single" w:color="000000" w:sz="4" w:space="0"/>
              <w:left w:val="single" w:color="000000" w:sz="4" w:space="0"/>
              <w:bottom w:val="single" w:color="000000" w:sz="4" w:space="0"/>
              <w:right w:val="single" w:color="000000" w:sz="8" w:space="0"/>
            </w:tcBorders>
            <w:vAlign w:val="center"/>
          </w:tcPr>
          <w:p w14:paraId="3AF3BBDA">
            <w:pPr>
              <w:jc w:val="center"/>
              <w:rPr>
                <w:rFonts w:hint="eastAsia" w:ascii="宋体" w:hAnsi="宋体" w:eastAsia="宋体" w:cs="宋体"/>
                <w:szCs w:val="21"/>
              </w:rPr>
            </w:pPr>
            <w:r>
              <w:rPr>
                <w:rFonts w:hint="eastAsia" w:ascii="宋体" w:hAnsi="宋体" w:eastAsia="宋体" w:cs="宋体"/>
                <w:szCs w:val="21"/>
              </w:rPr>
              <w:t>3150000.00</w:t>
            </w:r>
          </w:p>
        </w:tc>
        <w:tc>
          <w:tcPr>
            <w:tcW w:w="1367" w:type="pct"/>
            <w:tcBorders>
              <w:top w:val="single" w:color="000000" w:sz="4" w:space="0"/>
              <w:left w:val="single" w:color="000000" w:sz="4" w:space="0"/>
              <w:bottom w:val="single" w:color="000000" w:sz="4" w:space="0"/>
              <w:right w:val="single" w:color="000000" w:sz="8" w:space="0"/>
            </w:tcBorders>
            <w:vAlign w:val="center"/>
          </w:tcPr>
          <w:p w14:paraId="294FFA70">
            <w:pPr>
              <w:jc w:val="center"/>
              <w:rPr>
                <w:rFonts w:hint="eastAsia" w:ascii="宋体" w:hAnsi="宋体" w:eastAsia="宋体" w:cs="宋体"/>
                <w:szCs w:val="21"/>
              </w:rPr>
            </w:pPr>
            <w:r>
              <w:rPr>
                <w:rFonts w:hint="eastAsia" w:ascii="宋体" w:hAnsi="宋体" w:eastAsia="宋体" w:cs="宋体"/>
                <w:szCs w:val="21"/>
              </w:rPr>
              <w:t>自合同签订之日起至2025年12月31日止</w:t>
            </w:r>
          </w:p>
        </w:tc>
      </w:tr>
    </w:tbl>
    <w:p w14:paraId="55C7D5C0">
      <w:pPr>
        <w:jc w:val="left"/>
        <w:rPr>
          <w:rFonts w:hint="eastAsia" w:ascii="宋体" w:hAnsi="宋体" w:eastAsia="宋体" w:cs="宋体"/>
          <w:szCs w:val="21"/>
        </w:rPr>
      </w:pPr>
      <w:r>
        <w:rPr>
          <w:rFonts w:hint="eastAsia" w:ascii="宋体" w:hAnsi="宋体" w:eastAsia="宋体" w:cs="宋体"/>
          <w:szCs w:val="21"/>
        </w:rPr>
        <w:t>注：</w:t>
      </w:r>
    </w:p>
    <w:p w14:paraId="2D488A66">
      <w:pPr>
        <w:ind w:firstLine="420" w:firstLineChars="200"/>
        <w:jc w:val="left"/>
        <w:rPr>
          <w:rFonts w:hint="eastAsia" w:ascii="宋体" w:hAnsi="宋体" w:eastAsia="宋体" w:cs="宋体"/>
          <w:szCs w:val="21"/>
        </w:rPr>
      </w:pPr>
      <w:r>
        <w:rPr>
          <w:rFonts w:hint="eastAsia" w:ascii="宋体" w:hAnsi="宋体" w:eastAsia="宋体" w:cs="宋体"/>
          <w:kern w:val="0"/>
          <w:szCs w:val="21"/>
        </w:rPr>
        <w:t>报价应为人民币含税全包价，包括货物、包装、运输、装卸、安装、调试、验收、培训、技术服务、质保期售后服务、税金等相关服务的可预见和不可预见的全部费用。釆购人不再支付除此之外的其它任何费用。供应商应对本项目内所有的要求进行报价，不允许只对项目其中部分进行报价。报价超过项目预算金额为无效报价。</w:t>
      </w:r>
    </w:p>
    <w:p w14:paraId="1CD8548F">
      <w:pPr>
        <w:pStyle w:val="32"/>
        <w:spacing w:line="400" w:lineRule="exact"/>
        <w:ind w:firstLine="210" w:firstLineChars="100"/>
        <w:rPr>
          <w:rFonts w:hint="eastAsia" w:ascii="宋体" w:hAnsi="宋体" w:cs="宋体"/>
          <w:sz w:val="21"/>
          <w:szCs w:val="21"/>
        </w:rPr>
      </w:pPr>
    </w:p>
    <w:p w14:paraId="7318BBD5">
      <w:pPr>
        <w:rPr>
          <w:rFonts w:hint="eastAsia" w:ascii="宋体" w:hAnsi="宋体" w:eastAsia="宋体" w:cs="宋体"/>
          <w:b/>
          <w:bCs/>
          <w:szCs w:val="21"/>
        </w:rPr>
      </w:pPr>
      <w:r>
        <w:rPr>
          <w:rFonts w:hint="eastAsia" w:ascii="宋体" w:hAnsi="宋体" w:eastAsia="宋体" w:cs="宋体"/>
          <w:b/>
          <w:bCs/>
          <w:szCs w:val="21"/>
        </w:rPr>
        <w:t>采购包1（</w:t>
      </w:r>
      <w:r>
        <w:rPr>
          <w:rFonts w:hint="eastAsia" w:ascii="宋体" w:hAnsi="宋体" w:eastAsia="宋体" w:cs="宋体"/>
          <w:szCs w:val="21"/>
        </w:rPr>
        <w:t>韶关市浈江区、仁化县农用地土壤重金属污染溯源项目（2025年）</w:t>
      </w:r>
      <w:r>
        <w:rPr>
          <w:rFonts w:hint="eastAsia" w:ascii="宋体" w:hAnsi="宋体" w:eastAsia="宋体" w:cs="宋体"/>
          <w:b/>
          <w:bCs/>
          <w:szCs w:val="21"/>
        </w:rPr>
        <w:t>）：</w:t>
      </w:r>
    </w:p>
    <w:p w14:paraId="2257C4B3">
      <w:pPr>
        <w:rPr>
          <w:rFonts w:hint="eastAsia" w:ascii="宋体" w:hAnsi="宋体" w:eastAsia="宋体" w:cs="宋体"/>
          <w:szCs w:val="21"/>
        </w:rPr>
      </w:pPr>
      <w:r>
        <w:rPr>
          <w:rFonts w:hint="eastAsia" w:ascii="宋体" w:hAnsi="宋体" w:eastAsia="宋体" w:cs="宋体"/>
          <w:b/>
          <w:szCs w:val="21"/>
        </w:rPr>
        <w:t>1.主要商务要求</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048"/>
      </w:tblGrid>
      <w:tr w14:paraId="231B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4" w:type="dxa"/>
            <w:vAlign w:val="center"/>
          </w:tcPr>
          <w:p w14:paraId="71121CA6">
            <w:pPr>
              <w:pStyle w:val="12"/>
              <w:spacing w:line="240" w:lineRule="auto"/>
              <w:ind w:left="0" w:firstLine="0" w:firstLineChars="0"/>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标的提供的时间</w:t>
            </w:r>
          </w:p>
        </w:tc>
        <w:tc>
          <w:tcPr>
            <w:tcW w:w="7048" w:type="dxa"/>
            <w:vAlign w:val="center"/>
          </w:tcPr>
          <w:p w14:paraId="2FA601CA">
            <w:pPr>
              <w:pStyle w:val="12"/>
              <w:spacing w:line="240" w:lineRule="auto"/>
              <w:ind w:left="0" w:firstLine="0" w:firstLineChars="0"/>
              <w:rPr>
                <w:rFonts w:hint="eastAsia" w:ascii="宋体" w:hAnsi="宋体" w:eastAsia="宋体" w:cs="宋体"/>
                <w:kern w:val="0"/>
                <w:sz w:val="21"/>
                <w:szCs w:val="21"/>
                <w:lang w:bidi="ar"/>
              </w:rPr>
            </w:pPr>
            <w:r>
              <w:rPr>
                <w:rFonts w:hint="eastAsia" w:ascii="宋体" w:hAnsi="宋体" w:eastAsia="宋体" w:cs="宋体"/>
                <w:sz w:val="21"/>
                <w:szCs w:val="21"/>
              </w:rPr>
              <w:t>自合同签订之日起至2025年12月31日止</w:t>
            </w:r>
            <w:r>
              <w:rPr>
                <w:rFonts w:hint="eastAsia" w:ascii="宋体" w:hAnsi="宋体" w:eastAsia="宋体" w:cs="宋体"/>
                <w:kern w:val="0"/>
                <w:sz w:val="21"/>
                <w:szCs w:val="21"/>
                <w:lang w:bidi="ar"/>
              </w:rPr>
              <w:t>。</w:t>
            </w:r>
          </w:p>
        </w:tc>
      </w:tr>
      <w:tr w14:paraId="05A7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74" w:type="dxa"/>
            <w:vAlign w:val="center"/>
          </w:tcPr>
          <w:p w14:paraId="47245D16">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标的提供的地点</w:t>
            </w:r>
          </w:p>
        </w:tc>
        <w:tc>
          <w:tcPr>
            <w:tcW w:w="7048" w:type="dxa"/>
            <w:vAlign w:val="center"/>
          </w:tcPr>
          <w:p w14:paraId="193387E8">
            <w:pPr>
              <w:rPr>
                <w:rFonts w:hint="eastAsia" w:ascii="宋体" w:hAnsi="宋体" w:eastAsia="宋体" w:cs="宋体"/>
                <w:kern w:val="0"/>
                <w:szCs w:val="21"/>
                <w:lang w:bidi="ar"/>
              </w:rPr>
            </w:pPr>
            <w:r>
              <w:rPr>
                <w:rFonts w:hint="eastAsia" w:ascii="宋体" w:hAnsi="宋体" w:eastAsia="宋体" w:cs="宋体"/>
                <w:kern w:val="0"/>
                <w:szCs w:val="21"/>
                <w:lang w:bidi="ar"/>
              </w:rPr>
              <w:t>采购人指定地点</w:t>
            </w:r>
          </w:p>
        </w:tc>
      </w:tr>
      <w:tr w14:paraId="329D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74" w:type="dxa"/>
            <w:vAlign w:val="center"/>
          </w:tcPr>
          <w:p w14:paraId="29BD7E75">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付款方式</w:t>
            </w:r>
          </w:p>
        </w:tc>
        <w:tc>
          <w:tcPr>
            <w:tcW w:w="7048" w:type="dxa"/>
            <w:vAlign w:val="center"/>
          </w:tcPr>
          <w:p w14:paraId="13E28FC9">
            <w:pPr>
              <w:spacing w:line="360" w:lineRule="auto"/>
              <w:rPr>
                <w:rFonts w:hint="eastAsia" w:ascii="宋体" w:hAnsi="宋体" w:eastAsia="宋体" w:cs="宋体"/>
              </w:rPr>
            </w:pPr>
            <w:r>
              <w:rPr>
                <w:rFonts w:hint="eastAsia" w:ascii="宋体" w:hAnsi="宋体" w:eastAsia="宋体" w:cs="宋体"/>
              </w:rPr>
              <w:t>1期：支付比例60%,合同签订生效后，提交项目实施方案，采购人在收到中标人发票后20个工作日内向中标人支付60%的预付款；</w:t>
            </w:r>
          </w:p>
          <w:p w14:paraId="16D6F048">
            <w:pPr>
              <w:spacing w:line="360" w:lineRule="auto"/>
              <w:rPr>
                <w:rFonts w:hint="eastAsia" w:ascii="宋体" w:hAnsi="宋体" w:eastAsia="宋体" w:cs="宋体"/>
              </w:rPr>
            </w:pPr>
            <w:r>
              <w:rPr>
                <w:rFonts w:hint="eastAsia" w:ascii="宋体" w:hAnsi="宋体" w:eastAsia="宋体" w:cs="宋体"/>
              </w:rPr>
              <w:t>2期：支付比例30%,完成所有工作任务并提交相应成果，采购人在收到中标人发票后20个工作日内办理向中标人支付合同总额30%的支付手续；</w:t>
            </w:r>
          </w:p>
          <w:p w14:paraId="583EA4AA">
            <w:pPr>
              <w:spacing w:line="360" w:lineRule="auto"/>
              <w:rPr>
                <w:rFonts w:hint="eastAsia" w:ascii="宋体" w:hAnsi="宋体" w:eastAsia="宋体" w:cs="宋体"/>
              </w:rPr>
            </w:pPr>
            <w:r>
              <w:rPr>
                <w:rFonts w:hint="eastAsia" w:ascii="宋体" w:hAnsi="宋体" w:eastAsia="宋体" w:cs="宋体"/>
              </w:rPr>
              <w:t>3期：支付比例10%,项目全部工作内容通过验收评审后，采购人在收到中标人发票后20个工作日内办理向中标人支付合同总额10%的支付手续。</w:t>
            </w:r>
          </w:p>
          <w:p w14:paraId="156DC945">
            <w:pPr>
              <w:spacing w:line="360" w:lineRule="auto"/>
              <w:ind w:firstLine="420" w:firstLineChars="200"/>
              <w:rPr>
                <w:rFonts w:hint="eastAsia" w:ascii="宋体" w:hAnsi="宋体" w:eastAsia="宋体" w:cs="宋体"/>
              </w:rPr>
            </w:pPr>
            <w:r>
              <w:rPr>
                <w:rFonts w:hint="eastAsia" w:ascii="宋体" w:hAnsi="宋体" w:eastAsia="宋体" w:cs="宋体"/>
              </w:rPr>
              <w:t>中标人应根据项目建设内容实际投入成本，据实向采购人提交请款材料，不得出现虚构、虚增投入成本情况，采购人有权根据市场询价等方式核实项目建设实际投入，并以此作为最终结算依据。中标人凭以下有效文件与采购人结算：</w:t>
            </w:r>
          </w:p>
          <w:p w14:paraId="76E4FA8B">
            <w:pPr>
              <w:spacing w:line="360" w:lineRule="auto"/>
              <w:ind w:firstLine="600"/>
              <w:rPr>
                <w:rFonts w:hint="eastAsia" w:ascii="宋体" w:hAnsi="宋体" w:eastAsia="宋体" w:cs="宋体"/>
              </w:rPr>
            </w:pPr>
            <w:r>
              <w:rPr>
                <w:rFonts w:hint="eastAsia" w:ascii="宋体" w:hAnsi="宋体" w:eastAsia="宋体" w:cs="宋体"/>
              </w:rPr>
              <w:t>①合同、中标通知书；</w:t>
            </w:r>
          </w:p>
          <w:p w14:paraId="66CF35B7">
            <w:pPr>
              <w:spacing w:line="360" w:lineRule="auto"/>
              <w:ind w:firstLine="600"/>
              <w:rPr>
                <w:rFonts w:hint="eastAsia" w:ascii="宋体" w:hAnsi="宋体" w:eastAsia="宋体" w:cs="宋体"/>
              </w:rPr>
            </w:pPr>
            <w:r>
              <w:rPr>
                <w:rFonts w:hint="eastAsia" w:ascii="宋体" w:hAnsi="宋体" w:eastAsia="宋体" w:cs="宋体"/>
              </w:rPr>
              <w:t>②中标人开具的正式发票；</w:t>
            </w:r>
          </w:p>
          <w:p w14:paraId="21A6F43A">
            <w:pPr>
              <w:spacing w:line="360" w:lineRule="auto"/>
              <w:ind w:firstLine="600"/>
              <w:rPr>
                <w:rFonts w:hint="eastAsia" w:ascii="宋体" w:hAnsi="宋体" w:eastAsia="宋体" w:cs="宋体"/>
              </w:rPr>
            </w:pPr>
            <w:r>
              <w:rPr>
                <w:rFonts w:hint="eastAsia" w:ascii="宋体" w:hAnsi="宋体" w:eastAsia="宋体" w:cs="宋体"/>
              </w:rPr>
              <w:t>③项目实际完成佐证。</w:t>
            </w:r>
          </w:p>
          <w:p w14:paraId="05513EEA">
            <w:pPr>
              <w:spacing w:line="360" w:lineRule="auto"/>
              <w:rPr>
                <w:rFonts w:hint="eastAsia" w:ascii="宋体" w:hAnsi="宋体" w:eastAsia="宋体" w:cs="宋体"/>
              </w:rPr>
            </w:pPr>
            <w:r>
              <w:rPr>
                <w:rFonts w:hint="eastAsia" w:ascii="宋体" w:hAnsi="宋体" w:eastAsia="宋体" w:cs="宋体"/>
              </w:rPr>
              <w:t>收款方、出具发票方、合同乙方均必须与中标人名称一致。</w:t>
            </w:r>
          </w:p>
        </w:tc>
      </w:tr>
      <w:tr w14:paraId="15B2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4" w:type="dxa"/>
            <w:vAlign w:val="center"/>
          </w:tcPr>
          <w:p w14:paraId="110887E8">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验收要求</w:t>
            </w:r>
          </w:p>
        </w:tc>
        <w:tc>
          <w:tcPr>
            <w:tcW w:w="7048" w:type="dxa"/>
            <w:vAlign w:val="center"/>
          </w:tcPr>
          <w:p w14:paraId="3D46FCAD">
            <w:pPr>
              <w:spacing w:line="360" w:lineRule="auto"/>
              <w:rPr>
                <w:rFonts w:hint="eastAsia" w:ascii="宋体" w:hAnsi="宋体" w:eastAsia="宋体" w:cs="宋体"/>
                <w:bCs/>
                <w:szCs w:val="21"/>
              </w:rPr>
            </w:pPr>
            <w:r>
              <w:rPr>
                <w:rFonts w:hint="eastAsia" w:ascii="宋体" w:hAnsi="宋体" w:eastAsia="宋体" w:cs="宋体"/>
                <w:szCs w:val="21"/>
              </w:rPr>
              <w:t>项目成果通过专家技术评审，提供完整的项目成果及应用（包括电子和纸质文件及相关图片、数据等）。</w:t>
            </w:r>
          </w:p>
        </w:tc>
      </w:tr>
      <w:tr w14:paraId="4446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74" w:type="dxa"/>
            <w:vAlign w:val="center"/>
          </w:tcPr>
          <w:p w14:paraId="0A7634E2">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履约保证金</w:t>
            </w:r>
          </w:p>
        </w:tc>
        <w:tc>
          <w:tcPr>
            <w:tcW w:w="7048" w:type="dxa"/>
            <w:vAlign w:val="center"/>
          </w:tcPr>
          <w:p w14:paraId="0B1BAD48">
            <w:pPr>
              <w:spacing w:line="360" w:lineRule="auto"/>
              <w:rPr>
                <w:rFonts w:hint="eastAsia" w:ascii="宋体" w:hAnsi="宋体" w:eastAsia="宋体" w:cs="宋体"/>
                <w:bCs/>
                <w:szCs w:val="21"/>
              </w:rPr>
            </w:pPr>
            <w:r>
              <w:rPr>
                <w:rFonts w:hint="eastAsia" w:ascii="宋体" w:hAnsi="宋体" w:eastAsia="宋体" w:cs="宋体"/>
                <w:szCs w:val="21"/>
              </w:rPr>
              <w:t>不收取</w:t>
            </w:r>
          </w:p>
        </w:tc>
      </w:tr>
      <w:tr w14:paraId="0F0B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74" w:type="dxa"/>
            <w:vAlign w:val="center"/>
          </w:tcPr>
          <w:p w14:paraId="7F36F033">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其他</w:t>
            </w:r>
          </w:p>
        </w:tc>
        <w:tc>
          <w:tcPr>
            <w:tcW w:w="7048" w:type="dxa"/>
            <w:vAlign w:val="center"/>
          </w:tcPr>
          <w:p w14:paraId="711C1420">
            <w:pPr>
              <w:spacing w:line="360" w:lineRule="auto"/>
              <w:rPr>
                <w:rFonts w:hint="eastAsia" w:ascii="宋体" w:hAnsi="宋体" w:eastAsia="宋体" w:cs="宋体"/>
                <w:bCs/>
                <w:szCs w:val="21"/>
              </w:rPr>
            </w:pPr>
            <w:r>
              <w:rPr>
                <w:rFonts w:hint="eastAsia" w:ascii="宋体" w:hAnsi="宋体" w:cs="宋体"/>
                <w:bCs/>
                <w:szCs w:val="21"/>
              </w:rPr>
              <w:t>/</w:t>
            </w:r>
          </w:p>
        </w:tc>
      </w:tr>
    </w:tbl>
    <w:p w14:paraId="18F2AF66">
      <w:pPr>
        <w:pStyle w:val="2"/>
      </w:pPr>
    </w:p>
    <w:p w14:paraId="196F5E17">
      <w:pPr>
        <w:rPr>
          <w:rFonts w:hint="eastAsia"/>
        </w:rPr>
      </w:pPr>
    </w:p>
    <w:p w14:paraId="64FB7BD2">
      <w:pPr>
        <w:rPr>
          <w:rFonts w:hint="eastAsia" w:ascii="宋体" w:hAnsi="宋体" w:eastAsia="宋体" w:cs="宋体"/>
          <w:b/>
          <w:bCs/>
          <w:szCs w:val="21"/>
        </w:rPr>
      </w:pPr>
      <w:r>
        <w:rPr>
          <w:rFonts w:hint="eastAsia" w:ascii="宋体" w:hAnsi="宋体" w:eastAsia="宋体" w:cs="宋体"/>
          <w:b/>
          <w:bCs/>
          <w:szCs w:val="21"/>
        </w:rPr>
        <w:t>采购包2（</w:t>
      </w:r>
      <w:r>
        <w:rPr>
          <w:rFonts w:hint="eastAsia" w:ascii="宋体" w:hAnsi="宋体" w:eastAsia="宋体" w:cs="宋体"/>
          <w:szCs w:val="21"/>
        </w:rPr>
        <w:t>韶关市武江区、翁源县农用地土壤重金属污染溯源项目（2025年）</w:t>
      </w:r>
      <w:r>
        <w:rPr>
          <w:rFonts w:hint="eastAsia" w:ascii="宋体" w:hAnsi="宋体" w:eastAsia="宋体" w:cs="宋体"/>
          <w:b/>
          <w:bCs/>
          <w:szCs w:val="21"/>
        </w:rPr>
        <w:t>）：</w:t>
      </w:r>
    </w:p>
    <w:p w14:paraId="7C9D8D94">
      <w:pPr>
        <w:rPr>
          <w:rFonts w:hint="eastAsia" w:ascii="宋体" w:hAnsi="宋体" w:eastAsia="宋体" w:cs="宋体"/>
          <w:szCs w:val="21"/>
        </w:rPr>
      </w:pPr>
      <w:r>
        <w:rPr>
          <w:rFonts w:hint="eastAsia" w:ascii="宋体" w:hAnsi="宋体" w:eastAsia="宋体" w:cs="宋体"/>
          <w:b/>
          <w:szCs w:val="21"/>
        </w:rPr>
        <w:t>1.主要商务要求</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048"/>
      </w:tblGrid>
      <w:tr w14:paraId="5BE6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4" w:type="dxa"/>
            <w:vAlign w:val="center"/>
          </w:tcPr>
          <w:p w14:paraId="6FB602DD">
            <w:pPr>
              <w:pStyle w:val="12"/>
              <w:spacing w:line="240" w:lineRule="auto"/>
              <w:ind w:left="0" w:firstLine="0" w:firstLineChars="0"/>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标的提供的时间</w:t>
            </w:r>
          </w:p>
        </w:tc>
        <w:tc>
          <w:tcPr>
            <w:tcW w:w="7048" w:type="dxa"/>
            <w:vAlign w:val="center"/>
          </w:tcPr>
          <w:p w14:paraId="4D6EB120">
            <w:pPr>
              <w:pStyle w:val="12"/>
              <w:spacing w:line="240" w:lineRule="auto"/>
              <w:ind w:left="0" w:firstLine="0" w:firstLineChars="0"/>
              <w:rPr>
                <w:rFonts w:hint="eastAsia" w:ascii="宋体" w:hAnsi="宋体" w:eastAsia="宋体" w:cs="宋体"/>
                <w:kern w:val="0"/>
                <w:sz w:val="21"/>
                <w:szCs w:val="21"/>
                <w:lang w:bidi="ar"/>
              </w:rPr>
            </w:pPr>
            <w:r>
              <w:rPr>
                <w:rFonts w:hint="eastAsia" w:ascii="宋体" w:hAnsi="宋体" w:eastAsia="宋体" w:cs="宋体"/>
                <w:sz w:val="21"/>
                <w:szCs w:val="21"/>
              </w:rPr>
              <w:t>自合同签订之日起至2025年12月31日止</w:t>
            </w:r>
            <w:r>
              <w:rPr>
                <w:rFonts w:hint="eastAsia" w:ascii="宋体" w:hAnsi="宋体" w:eastAsia="宋体" w:cs="宋体"/>
                <w:kern w:val="0"/>
                <w:sz w:val="21"/>
                <w:szCs w:val="21"/>
                <w:lang w:bidi="ar"/>
              </w:rPr>
              <w:t>。</w:t>
            </w:r>
          </w:p>
        </w:tc>
      </w:tr>
      <w:tr w14:paraId="2F00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74" w:type="dxa"/>
            <w:vAlign w:val="center"/>
          </w:tcPr>
          <w:p w14:paraId="19668D48">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标的提供的地点</w:t>
            </w:r>
          </w:p>
        </w:tc>
        <w:tc>
          <w:tcPr>
            <w:tcW w:w="7048" w:type="dxa"/>
            <w:vAlign w:val="center"/>
          </w:tcPr>
          <w:p w14:paraId="52DD84B2">
            <w:pPr>
              <w:rPr>
                <w:rFonts w:hint="eastAsia" w:ascii="宋体" w:hAnsi="宋体" w:eastAsia="宋体" w:cs="宋体"/>
                <w:kern w:val="0"/>
                <w:szCs w:val="21"/>
                <w:lang w:bidi="ar"/>
              </w:rPr>
            </w:pPr>
            <w:r>
              <w:rPr>
                <w:rFonts w:hint="eastAsia" w:ascii="宋体" w:hAnsi="宋体" w:eastAsia="宋体" w:cs="宋体"/>
                <w:kern w:val="0"/>
                <w:szCs w:val="21"/>
                <w:lang w:bidi="ar"/>
              </w:rPr>
              <w:t>采购人指定地点</w:t>
            </w:r>
          </w:p>
        </w:tc>
      </w:tr>
      <w:tr w14:paraId="2A8B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74" w:type="dxa"/>
            <w:vAlign w:val="center"/>
          </w:tcPr>
          <w:p w14:paraId="05F205CF">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付款方式</w:t>
            </w:r>
          </w:p>
        </w:tc>
        <w:tc>
          <w:tcPr>
            <w:tcW w:w="7048" w:type="dxa"/>
            <w:vAlign w:val="center"/>
          </w:tcPr>
          <w:p w14:paraId="7B644003">
            <w:pPr>
              <w:spacing w:line="360" w:lineRule="auto"/>
              <w:rPr>
                <w:rFonts w:hint="eastAsia" w:ascii="宋体" w:hAnsi="宋体" w:eastAsia="宋体" w:cs="宋体"/>
              </w:rPr>
            </w:pPr>
            <w:r>
              <w:rPr>
                <w:rFonts w:hint="eastAsia" w:ascii="宋体" w:hAnsi="宋体" w:eastAsia="宋体" w:cs="宋体"/>
              </w:rPr>
              <w:t>1期：支付比例60%,合同签订生效后，提交项目实施方案，采购人在收到中标人发票后20个工作日内向中标人支付60%的预付款；</w:t>
            </w:r>
          </w:p>
          <w:p w14:paraId="33F5C5DE">
            <w:pPr>
              <w:spacing w:line="360" w:lineRule="auto"/>
              <w:rPr>
                <w:rFonts w:hint="eastAsia" w:ascii="宋体" w:hAnsi="宋体" w:eastAsia="宋体" w:cs="宋体"/>
              </w:rPr>
            </w:pPr>
            <w:r>
              <w:rPr>
                <w:rFonts w:hint="eastAsia" w:ascii="宋体" w:hAnsi="宋体" w:eastAsia="宋体" w:cs="宋体"/>
              </w:rPr>
              <w:t>2期：支付比例30%,完成所有工作任务并提交相应成果，采购人在收到中标人发票后20个工作日内办理向中标人支付合同总额30%的支付手续；</w:t>
            </w:r>
          </w:p>
          <w:p w14:paraId="46EBE00B">
            <w:pPr>
              <w:spacing w:line="360" w:lineRule="auto"/>
              <w:rPr>
                <w:rFonts w:hint="eastAsia" w:ascii="宋体" w:hAnsi="宋体" w:eastAsia="宋体" w:cs="宋体"/>
              </w:rPr>
            </w:pPr>
            <w:r>
              <w:rPr>
                <w:rFonts w:hint="eastAsia" w:ascii="宋体" w:hAnsi="宋体" w:eastAsia="宋体" w:cs="宋体"/>
              </w:rPr>
              <w:t>3期：支付比例10%,项目全部工作内容通过验收评审后，采购人在收到中标人发票后20个工作日内办理向中标人支付合同总额10%的支付手续。</w:t>
            </w:r>
          </w:p>
          <w:p w14:paraId="6A085A89">
            <w:pPr>
              <w:spacing w:line="360" w:lineRule="auto"/>
              <w:ind w:firstLine="420" w:firstLineChars="200"/>
              <w:rPr>
                <w:rFonts w:hint="eastAsia" w:ascii="宋体" w:hAnsi="宋体" w:eastAsia="宋体" w:cs="宋体"/>
              </w:rPr>
            </w:pPr>
            <w:r>
              <w:rPr>
                <w:rFonts w:hint="eastAsia" w:ascii="宋体" w:hAnsi="宋体" w:eastAsia="宋体" w:cs="宋体"/>
              </w:rPr>
              <w:t>中标人应根据项目建设内容实际投入成本，据实向采购人提交请款材料，不得出现虚构、虚增投入成本情况，采购人有权根据市场询价等方式核实项目建设实际投入，并以此作为最终结算依据。中标人凭以下有效文件与采购人结算：</w:t>
            </w:r>
          </w:p>
          <w:p w14:paraId="61CE7EAB">
            <w:pPr>
              <w:spacing w:line="360" w:lineRule="auto"/>
              <w:ind w:firstLine="600"/>
              <w:rPr>
                <w:rFonts w:hint="eastAsia" w:ascii="宋体" w:hAnsi="宋体" w:eastAsia="宋体" w:cs="宋体"/>
              </w:rPr>
            </w:pPr>
            <w:r>
              <w:rPr>
                <w:rFonts w:hint="eastAsia" w:ascii="宋体" w:hAnsi="宋体" w:eastAsia="宋体" w:cs="宋体"/>
              </w:rPr>
              <w:t>①合同、中标通知书；</w:t>
            </w:r>
          </w:p>
          <w:p w14:paraId="0F5A3DFE">
            <w:pPr>
              <w:spacing w:line="360" w:lineRule="auto"/>
              <w:ind w:firstLine="600"/>
              <w:rPr>
                <w:rFonts w:hint="eastAsia" w:ascii="宋体" w:hAnsi="宋体" w:eastAsia="宋体" w:cs="宋体"/>
              </w:rPr>
            </w:pPr>
            <w:r>
              <w:rPr>
                <w:rFonts w:hint="eastAsia" w:ascii="宋体" w:hAnsi="宋体" w:eastAsia="宋体" w:cs="宋体"/>
              </w:rPr>
              <w:t>②中标人开具的正式发票；</w:t>
            </w:r>
          </w:p>
          <w:p w14:paraId="3BC601E9">
            <w:pPr>
              <w:spacing w:line="360" w:lineRule="auto"/>
              <w:ind w:firstLine="600"/>
              <w:rPr>
                <w:rFonts w:hint="eastAsia" w:ascii="宋体" w:hAnsi="宋体" w:eastAsia="宋体" w:cs="宋体"/>
              </w:rPr>
            </w:pPr>
            <w:r>
              <w:rPr>
                <w:rFonts w:hint="eastAsia" w:ascii="宋体" w:hAnsi="宋体" w:eastAsia="宋体" w:cs="宋体"/>
              </w:rPr>
              <w:t>③项目实际完成佐证。</w:t>
            </w:r>
          </w:p>
          <w:p w14:paraId="1CD27D73">
            <w:pPr>
              <w:spacing w:line="360" w:lineRule="auto"/>
              <w:rPr>
                <w:rFonts w:hint="eastAsia" w:ascii="宋体" w:hAnsi="宋体" w:eastAsia="宋体" w:cs="宋体"/>
              </w:rPr>
            </w:pPr>
            <w:r>
              <w:rPr>
                <w:rFonts w:hint="eastAsia" w:ascii="宋体" w:hAnsi="宋体" w:eastAsia="宋体" w:cs="宋体"/>
              </w:rPr>
              <w:t>收款方、出具发票方、合同乙方均必须与中标人名称一致。</w:t>
            </w:r>
          </w:p>
        </w:tc>
      </w:tr>
      <w:tr w14:paraId="311C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4" w:type="dxa"/>
            <w:vAlign w:val="center"/>
          </w:tcPr>
          <w:p w14:paraId="2B4A9ABB">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验收要求</w:t>
            </w:r>
          </w:p>
        </w:tc>
        <w:tc>
          <w:tcPr>
            <w:tcW w:w="7048" w:type="dxa"/>
            <w:vAlign w:val="center"/>
          </w:tcPr>
          <w:p w14:paraId="25555ED3">
            <w:pPr>
              <w:spacing w:line="360" w:lineRule="auto"/>
              <w:rPr>
                <w:rFonts w:hint="eastAsia" w:ascii="宋体" w:hAnsi="宋体" w:eastAsia="宋体" w:cs="宋体"/>
                <w:bCs/>
                <w:szCs w:val="21"/>
              </w:rPr>
            </w:pPr>
            <w:r>
              <w:rPr>
                <w:rFonts w:hint="eastAsia" w:ascii="宋体" w:hAnsi="宋体" w:eastAsia="宋体" w:cs="宋体"/>
                <w:szCs w:val="21"/>
              </w:rPr>
              <w:t>项目成果通过专家技术评审，提供完整的项目成果及应用（包括电子和纸质文件及相关图片、数据等）。</w:t>
            </w:r>
          </w:p>
        </w:tc>
      </w:tr>
      <w:tr w14:paraId="19A4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74" w:type="dxa"/>
            <w:vAlign w:val="center"/>
          </w:tcPr>
          <w:p w14:paraId="479923C7">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履约保证金</w:t>
            </w:r>
          </w:p>
        </w:tc>
        <w:tc>
          <w:tcPr>
            <w:tcW w:w="7048" w:type="dxa"/>
            <w:vAlign w:val="center"/>
          </w:tcPr>
          <w:p w14:paraId="6B4B4C88">
            <w:pPr>
              <w:spacing w:line="360" w:lineRule="auto"/>
              <w:rPr>
                <w:rFonts w:hint="eastAsia" w:ascii="宋体" w:hAnsi="宋体" w:eastAsia="宋体" w:cs="宋体"/>
                <w:bCs/>
                <w:szCs w:val="21"/>
              </w:rPr>
            </w:pPr>
            <w:r>
              <w:rPr>
                <w:rFonts w:hint="eastAsia" w:ascii="宋体" w:hAnsi="宋体" w:eastAsia="宋体" w:cs="宋体"/>
                <w:szCs w:val="21"/>
              </w:rPr>
              <w:t>不收取</w:t>
            </w:r>
          </w:p>
        </w:tc>
      </w:tr>
      <w:tr w14:paraId="382E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74" w:type="dxa"/>
            <w:vAlign w:val="center"/>
          </w:tcPr>
          <w:p w14:paraId="686A8D8A">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其他</w:t>
            </w:r>
          </w:p>
        </w:tc>
        <w:tc>
          <w:tcPr>
            <w:tcW w:w="7048" w:type="dxa"/>
            <w:vAlign w:val="center"/>
          </w:tcPr>
          <w:p w14:paraId="1437067F">
            <w:pPr>
              <w:spacing w:line="360" w:lineRule="auto"/>
              <w:rPr>
                <w:rFonts w:hint="eastAsia" w:ascii="宋体" w:hAnsi="宋体" w:eastAsia="宋体" w:cs="宋体"/>
                <w:bCs/>
                <w:szCs w:val="21"/>
              </w:rPr>
            </w:pPr>
            <w:r>
              <w:rPr>
                <w:rFonts w:hint="eastAsia" w:ascii="宋体" w:hAnsi="宋体" w:cs="宋体"/>
                <w:bCs/>
                <w:szCs w:val="21"/>
              </w:rPr>
              <w:t>/</w:t>
            </w:r>
          </w:p>
        </w:tc>
      </w:tr>
    </w:tbl>
    <w:p w14:paraId="5329FF14">
      <w:pPr>
        <w:rPr>
          <w:rFonts w:hint="eastAsia"/>
        </w:rPr>
      </w:pPr>
    </w:p>
    <w:p w14:paraId="15154B59">
      <w:pPr>
        <w:spacing w:line="360" w:lineRule="auto"/>
        <w:jc w:val="left"/>
        <w:rPr>
          <w:rFonts w:hint="eastAsia" w:ascii="宋体" w:hAnsi="宋体" w:eastAsia="宋体" w:cs="宋体"/>
          <w:b/>
          <w:bCs/>
          <w:szCs w:val="21"/>
        </w:rPr>
      </w:pPr>
      <w:r>
        <w:rPr>
          <w:rFonts w:hint="eastAsia" w:ascii="宋体" w:hAnsi="宋体" w:eastAsia="宋体" w:cs="宋体"/>
          <w:b/>
          <w:bCs/>
          <w:szCs w:val="21"/>
        </w:rPr>
        <w:t>其他商务要求</w:t>
      </w:r>
    </w:p>
    <w:tbl>
      <w:tblPr>
        <w:tblStyle w:val="2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19"/>
        <w:gridCol w:w="735"/>
        <w:gridCol w:w="6667"/>
      </w:tblGrid>
      <w:tr w14:paraId="0247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8" w:type="dxa"/>
            <w:vAlign w:val="center"/>
          </w:tcPr>
          <w:p w14:paraId="716635EB">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参数性质</w:t>
            </w:r>
          </w:p>
        </w:tc>
        <w:tc>
          <w:tcPr>
            <w:tcW w:w="419" w:type="dxa"/>
            <w:vAlign w:val="center"/>
          </w:tcPr>
          <w:p w14:paraId="45632FC6">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编号</w:t>
            </w:r>
          </w:p>
        </w:tc>
        <w:tc>
          <w:tcPr>
            <w:tcW w:w="735" w:type="dxa"/>
            <w:vAlign w:val="center"/>
          </w:tcPr>
          <w:p w14:paraId="0E3749B9">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内容明细</w:t>
            </w:r>
          </w:p>
        </w:tc>
        <w:tc>
          <w:tcPr>
            <w:tcW w:w="6667" w:type="dxa"/>
            <w:vAlign w:val="center"/>
          </w:tcPr>
          <w:p w14:paraId="551F5CDD">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内容说明</w:t>
            </w:r>
          </w:p>
        </w:tc>
      </w:tr>
      <w:tr w14:paraId="3EC8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8" w:type="dxa"/>
            <w:vAlign w:val="center"/>
          </w:tcPr>
          <w:p w14:paraId="5469CA56">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b/>
                <w:bCs/>
                <w:kern w:val="0"/>
                <w:sz w:val="21"/>
                <w:szCs w:val="21"/>
                <w:lang w:bidi="ar"/>
              </w:rPr>
              <w:t>★</w:t>
            </w:r>
          </w:p>
        </w:tc>
        <w:tc>
          <w:tcPr>
            <w:tcW w:w="419" w:type="dxa"/>
            <w:vAlign w:val="center"/>
          </w:tcPr>
          <w:p w14:paraId="7DBAC72E">
            <w:pPr>
              <w:pStyle w:val="12"/>
              <w:spacing w:line="240" w:lineRule="auto"/>
              <w:ind w:left="0" w:firstLine="0" w:firstLineChars="0"/>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735" w:type="dxa"/>
            <w:vAlign w:val="center"/>
          </w:tcPr>
          <w:p w14:paraId="13CA7CF9">
            <w:pPr>
              <w:jc w:val="center"/>
              <w:rPr>
                <w:rFonts w:hint="eastAsia" w:ascii="宋体" w:hAnsi="宋体" w:eastAsia="宋体" w:cs="宋体"/>
                <w:kern w:val="0"/>
                <w:szCs w:val="21"/>
                <w:lang w:bidi="ar"/>
              </w:rPr>
            </w:pPr>
            <w:r>
              <w:rPr>
                <w:rFonts w:hint="eastAsia" w:ascii="宋体" w:hAnsi="宋体" w:eastAsia="宋体" w:cs="宋体"/>
                <w:kern w:val="0"/>
                <w:szCs w:val="21"/>
                <w:lang w:bidi="ar"/>
              </w:rPr>
              <w:t>报价要求</w:t>
            </w:r>
          </w:p>
        </w:tc>
        <w:tc>
          <w:tcPr>
            <w:tcW w:w="6667" w:type="dxa"/>
            <w:vAlign w:val="center"/>
          </w:tcPr>
          <w:p w14:paraId="34B66874">
            <w:pPr>
              <w:pStyle w:val="32"/>
              <w:spacing w:line="240" w:lineRule="auto"/>
              <w:ind w:firstLine="210" w:firstLineChars="100"/>
              <w:jc w:val="both"/>
              <w:rPr>
                <w:rFonts w:hint="eastAsia" w:ascii="宋体" w:hAnsi="宋体" w:cs="宋体"/>
                <w:sz w:val="21"/>
                <w:szCs w:val="21"/>
              </w:rPr>
            </w:pPr>
            <w:r>
              <w:rPr>
                <w:rFonts w:hint="eastAsia" w:ascii="宋体" w:hAnsi="宋体" w:cs="宋体"/>
                <w:sz w:val="21"/>
                <w:szCs w:val="21"/>
              </w:rPr>
              <w:t>报价应为人民币含税全包价，包括货物、包装、运输、装卸、安装、调试、验收、培训、技术服务、质保期售后服务、税金等相关服务的可预见和不可预见的全部费用。釆购人不再支付除此之外的其它任何费用。供应商应对本项目内所有的要求进行报价，不允许只对项目其中部分进行报价。报价超过项目预算金额为无效报价。</w:t>
            </w:r>
          </w:p>
        </w:tc>
      </w:tr>
      <w:tr w14:paraId="7A88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8" w:type="dxa"/>
            <w:vAlign w:val="center"/>
          </w:tcPr>
          <w:p w14:paraId="7D7A9DD1">
            <w:pPr>
              <w:pStyle w:val="12"/>
              <w:spacing w:line="240" w:lineRule="auto"/>
              <w:ind w:left="0" w:firstLine="0" w:firstLineChars="0"/>
              <w:jc w:val="center"/>
              <w:rPr>
                <w:rFonts w:hint="eastAsia" w:ascii="宋体" w:hAnsi="宋体" w:eastAsia="宋体" w:cs="宋体"/>
                <w:b/>
                <w:bCs/>
                <w:kern w:val="0"/>
                <w:sz w:val="21"/>
                <w:szCs w:val="21"/>
                <w:lang w:bidi="ar"/>
              </w:rPr>
            </w:pPr>
          </w:p>
        </w:tc>
        <w:tc>
          <w:tcPr>
            <w:tcW w:w="419" w:type="dxa"/>
            <w:vAlign w:val="center"/>
          </w:tcPr>
          <w:p w14:paraId="502A9E62">
            <w:pPr>
              <w:pStyle w:val="12"/>
              <w:spacing w:line="240" w:lineRule="auto"/>
              <w:ind w:left="0" w:firstLine="0" w:firstLineChars="0"/>
              <w:jc w:val="center"/>
              <w:rPr>
                <w:rFonts w:hint="eastAsia" w:ascii="宋体" w:hAnsi="宋体" w:eastAsia="宋体" w:cs="宋体"/>
                <w:kern w:val="0"/>
                <w:sz w:val="21"/>
                <w:szCs w:val="21"/>
                <w:lang w:bidi="ar"/>
              </w:rPr>
            </w:pPr>
            <w:r>
              <w:rPr>
                <w:rFonts w:hint="eastAsia" w:ascii="宋体" w:hAnsi="宋体" w:eastAsia="宋体" w:cs="宋体"/>
                <w:sz w:val="21"/>
                <w:szCs w:val="21"/>
              </w:rPr>
              <w:t>2</w:t>
            </w:r>
          </w:p>
        </w:tc>
        <w:tc>
          <w:tcPr>
            <w:tcW w:w="735" w:type="dxa"/>
            <w:vAlign w:val="center"/>
          </w:tcPr>
          <w:p w14:paraId="1DA451AB">
            <w:pPr>
              <w:jc w:val="center"/>
              <w:rPr>
                <w:rFonts w:hint="eastAsia" w:ascii="宋体" w:hAnsi="宋体" w:eastAsia="宋体" w:cs="宋体"/>
                <w:kern w:val="0"/>
                <w:szCs w:val="21"/>
                <w:lang w:bidi="ar"/>
              </w:rPr>
            </w:pPr>
            <w:r>
              <w:rPr>
                <w:rFonts w:hint="eastAsia" w:ascii="宋体" w:hAnsi="宋体" w:eastAsia="宋体" w:cs="宋体"/>
              </w:rPr>
              <w:t>服务期</w:t>
            </w:r>
          </w:p>
        </w:tc>
        <w:tc>
          <w:tcPr>
            <w:tcW w:w="6667" w:type="dxa"/>
            <w:vAlign w:val="center"/>
          </w:tcPr>
          <w:p w14:paraId="45DA3151">
            <w:pPr>
              <w:keepNext/>
              <w:keepLines/>
              <w:spacing w:line="360" w:lineRule="auto"/>
              <w:ind w:firstLine="210" w:firstLineChars="100"/>
              <w:rPr>
                <w:rFonts w:hint="eastAsia" w:ascii="宋体" w:hAnsi="宋体" w:eastAsia="宋体" w:cs="宋体"/>
                <w:szCs w:val="21"/>
              </w:rPr>
            </w:pPr>
            <w:r>
              <w:rPr>
                <w:rFonts w:hint="eastAsia" w:ascii="宋体" w:hAnsi="宋体" w:eastAsia="宋体" w:cs="宋体"/>
                <w:szCs w:val="21"/>
              </w:rPr>
              <w:t>自合同签订之日起至2025年12月31日止，具体安排如下：</w:t>
            </w:r>
          </w:p>
          <w:p w14:paraId="25BA6FE1">
            <w:pPr>
              <w:keepNext/>
              <w:keepLines/>
              <w:spacing w:line="360" w:lineRule="auto"/>
              <w:ind w:firstLine="210" w:firstLineChars="100"/>
              <w:rPr>
                <w:rFonts w:hint="eastAsia" w:ascii="宋体" w:hAnsi="宋体" w:eastAsia="宋体" w:cs="宋体"/>
                <w:kern w:val="0"/>
                <w:szCs w:val="21"/>
              </w:rPr>
            </w:pPr>
            <w:r>
              <w:rPr>
                <w:rFonts w:hint="eastAsia" w:ascii="宋体" w:hAnsi="宋体" w:eastAsia="宋体" w:cs="宋体"/>
                <w:szCs w:val="21"/>
              </w:rPr>
              <w:t xml:space="preserve">2025年12月底前，完成项目全部工作，提交成果报告及图件，并通过采购人组织的专家评审验收。 </w:t>
            </w:r>
          </w:p>
        </w:tc>
      </w:tr>
      <w:tr w14:paraId="3142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8" w:type="dxa"/>
            <w:vAlign w:val="center"/>
          </w:tcPr>
          <w:p w14:paraId="3743F390">
            <w:pPr>
              <w:pStyle w:val="12"/>
              <w:spacing w:line="240" w:lineRule="auto"/>
              <w:ind w:left="0" w:firstLine="0" w:firstLineChars="0"/>
              <w:jc w:val="center"/>
              <w:rPr>
                <w:rFonts w:hint="eastAsia" w:ascii="宋体" w:hAnsi="宋体" w:eastAsia="宋体" w:cs="宋体"/>
                <w:b/>
                <w:bCs/>
                <w:kern w:val="0"/>
                <w:sz w:val="21"/>
                <w:szCs w:val="21"/>
                <w:lang w:bidi="ar"/>
              </w:rPr>
            </w:pPr>
          </w:p>
        </w:tc>
        <w:tc>
          <w:tcPr>
            <w:tcW w:w="419" w:type="dxa"/>
            <w:vAlign w:val="center"/>
          </w:tcPr>
          <w:p w14:paraId="603A61AB">
            <w:pPr>
              <w:pStyle w:val="12"/>
              <w:spacing w:line="240" w:lineRule="auto"/>
              <w:ind w:left="0" w:firstLine="0" w:firstLineChars="0"/>
              <w:jc w:val="center"/>
              <w:rPr>
                <w:rFonts w:hint="eastAsia" w:ascii="宋体" w:hAnsi="宋体" w:eastAsia="宋体" w:cs="宋体"/>
                <w:kern w:val="0"/>
                <w:sz w:val="21"/>
                <w:szCs w:val="21"/>
                <w:lang w:bidi="ar"/>
              </w:rPr>
            </w:pPr>
            <w:r>
              <w:rPr>
                <w:rFonts w:hint="eastAsia" w:ascii="宋体" w:hAnsi="宋体" w:eastAsia="宋体" w:cs="宋体"/>
                <w:sz w:val="21"/>
                <w:szCs w:val="21"/>
              </w:rPr>
              <w:t>3</w:t>
            </w:r>
          </w:p>
        </w:tc>
        <w:tc>
          <w:tcPr>
            <w:tcW w:w="735" w:type="dxa"/>
            <w:vAlign w:val="center"/>
          </w:tcPr>
          <w:p w14:paraId="5D6B2A07">
            <w:pPr>
              <w:jc w:val="center"/>
              <w:rPr>
                <w:rFonts w:hint="eastAsia" w:ascii="宋体" w:hAnsi="宋体" w:eastAsia="宋体" w:cs="宋体"/>
                <w:kern w:val="0"/>
                <w:szCs w:val="21"/>
                <w:lang w:bidi="ar"/>
              </w:rPr>
            </w:pPr>
            <w:r>
              <w:rPr>
                <w:rFonts w:hint="eastAsia" w:ascii="宋体" w:hAnsi="宋体" w:eastAsia="宋体" w:cs="宋体"/>
              </w:rPr>
              <w:t>售后服务</w:t>
            </w:r>
          </w:p>
        </w:tc>
        <w:tc>
          <w:tcPr>
            <w:tcW w:w="6667" w:type="dxa"/>
            <w:vAlign w:val="center"/>
          </w:tcPr>
          <w:p w14:paraId="187034F9">
            <w:pPr>
              <w:spacing w:line="360" w:lineRule="auto"/>
              <w:ind w:firstLine="420" w:firstLineChars="200"/>
              <w:rPr>
                <w:rFonts w:hint="eastAsia" w:ascii="宋体" w:hAnsi="宋体" w:eastAsia="宋体" w:cs="宋体"/>
                <w:kern w:val="0"/>
                <w:szCs w:val="21"/>
              </w:rPr>
            </w:pPr>
            <w:r>
              <w:rPr>
                <w:rFonts w:hint="eastAsia" w:ascii="宋体" w:hAnsi="宋体" w:eastAsia="宋体" w:cs="宋体"/>
              </w:rPr>
              <w:t>中标人须配合采购人完成整体项目的验收。项目完成后，中标人有义务协助采购人提出的要求，修改并完善项目资料。自验收合格之日起中标人需进行售后服务2年。要求中标人对项目实施过程中的所有相关数据及资料进行保存，以备采购人查阅。</w:t>
            </w:r>
          </w:p>
        </w:tc>
      </w:tr>
      <w:tr w14:paraId="704A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98" w:type="dxa"/>
            <w:vAlign w:val="center"/>
          </w:tcPr>
          <w:p w14:paraId="2BC610A1">
            <w:pPr>
              <w:pStyle w:val="12"/>
              <w:spacing w:line="240" w:lineRule="auto"/>
              <w:ind w:left="0" w:firstLine="0" w:firstLineChars="0"/>
              <w:jc w:val="center"/>
              <w:rPr>
                <w:rFonts w:hint="eastAsia" w:ascii="宋体" w:hAnsi="宋体" w:eastAsia="宋体" w:cs="宋体"/>
                <w:sz w:val="21"/>
                <w:szCs w:val="21"/>
              </w:rPr>
            </w:pPr>
            <w:r>
              <w:rPr>
                <w:rFonts w:hint="eastAsia" w:ascii="宋体" w:hAnsi="宋体" w:eastAsia="宋体" w:cs="宋体"/>
                <w:sz w:val="21"/>
                <w:szCs w:val="21"/>
              </w:rPr>
              <w:t>说明</w:t>
            </w:r>
          </w:p>
        </w:tc>
        <w:tc>
          <w:tcPr>
            <w:tcW w:w="7821" w:type="dxa"/>
            <w:gridSpan w:val="3"/>
            <w:vAlign w:val="center"/>
          </w:tcPr>
          <w:p w14:paraId="059058AD">
            <w:pPr>
              <w:rPr>
                <w:rFonts w:hint="eastAsia" w:ascii="宋体" w:hAnsi="宋体" w:eastAsia="宋体" w:cs="宋体"/>
                <w:szCs w:val="21"/>
              </w:rPr>
            </w:pPr>
            <w:r>
              <w:rPr>
                <w:rFonts w:hint="eastAsia" w:ascii="宋体" w:hAnsi="宋体" w:eastAsia="宋体" w:cs="宋体"/>
                <w:szCs w:val="21"/>
              </w:rPr>
              <w:t xml:space="preserve">打“★”号条款为实质性条款，若有任何一条负偏离或不满足则导致投标（响应）无效。 </w:t>
            </w:r>
          </w:p>
          <w:p w14:paraId="7A4DE331">
            <w:pPr>
              <w:rPr>
                <w:rFonts w:hint="eastAsia" w:ascii="宋体" w:hAnsi="宋体" w:eastAsia="宋体" w:cs="宋体"/>
                <w:szCs w:val="21"/>
              </w:rPr>
            </w:pPr>
            <w:r>
              <w:rPr>
                <w:rFonts w:hint="eastAsia" w:ascii="宋体" w:hAnsi="宋体" w:eastAsia="宋体" w:cs="宋体"/>
                <w:szCs w:val="21"/>
              </w:rPr>
              <w:t>打“▲”号条款为重要参数（如有），若有部分“▲”条款未响应或不满足，将根据评审要求影响其得分，但不作为无效投标（响应）条款。</w:t>
            </w:r>
          </w:p>
        </w:tc>
      </w:tr>
    </w:tbl>
    <w:p w14:paraId="04197927">
      <w:pPr>
        <w:rPr>
          <w:rFonts w:hint="eastAsia" w:ascii="宋体" w:hAnsi="宋体" w:eastAsia="宋体" w:cs="宋体"/>
          <w:b/>
          <w:szCs w:val="21"/>
        </w:rPr>
      </w:pPr>
    </w:p>
    <w:p w14:paraId="466A0A5D">
      <w:pPr>
        <w:rPr>
          <w:rFonts w:hint="eastAsia" w:ascii="宋体" w:hAnsi="宋体" w:eastAsia="宋体" w:cs="宋体"/>
          <w:szCs w:val="21"/>
        </w:rPr>
      </w:pPr>
      <w:r>
        <w:rPr>
          <w:rFonts w:hint="eastAsia" w:ascii="宋体" w:hAnsi="宋体" w:eastAsia="宋体" w:cs="宋体"/>
          <w:b/>
          <w:szCs w:val="21"/>
        </w:rPr>
        <w:t>2.技术标准与要求</w:t>
      </w:r>
    </w:p>
    <w:tbl>
      <w:tblPr>
        <w:tblStyle w:val="22"/>
        <w:tblW w:w="510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7"/>
        <w:gridCol w:w="1183"/>
        <w:gridCol w:w="1528"/>
        <w:gridCol w:w="486"/>
        <w:gridCol w:w="515"/>
        <w:gridCol w:w="1276"/>
        <w:gridCol w:w="1314"/>
        <w:gridCol w:w="750"/>
        <w:gridCol w:w="646"/>
        <w:gridCol w:w="517"/>
      </w:tblGrid>
      <w:tr w14:paraId="46E04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vAlign w:val="center"/>
          </w:tcPr>
          <w:p w14:paraId="7327E0B3">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序号</w:t>
            </w:r>
          </w:p>
        </w:tc>
        <w:tc>
          <w:tcPr>
            <w:tcW w:w="680" w:type="pct"/>
            <w:vAlign w:val="center"/>
          </w:tcPr>
          <w:p w14:paraId="19EC11C7">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品目名称</w:t>
            </w:r>
          </w:p>
        </w:tc>
        <w:tc>
          <w:tcPr>
            <w:tcW w:w="878" w:type="pct"/>
            <w:vAlign w:val="center"/>
          </w:tcPr>
          <w:p w14:paraId="6500CD4A">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标的名称</w:t>
            </w:r>
          </w:p>
        </w:tc>
        <w:tc>
          <w:tcPr>
            <w:tcW w:w="279" w:type="pct"/>
            <w:vAlign w:val="center"/>
          </w:tcPr>
          <w:p w14:paraId="1B5DE4A0">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单位</w:t>
            </w:r>
          </w:p>
        </w:tc>
        <w:tc>
          <w:tcPr>
            <w:tcW w:w="296" w:type="pct"/>
            <w:vAlign w:val="center"/>
          </w:tcPr>
          <w:p w14:paraId="7A96A694">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数量</w:t>
            </w:r>
          </w:p>
        </w:tc>
        <w:tc>
          <w:tcPr>
            <w:tcW w:w="733" w:type="pct"/>
            <w:vAlign w:val="center"/>
          </w:tcPr>
          <w:p w14:paraId="117FEDC5">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分项预算单价（元）</w:t>
            </w:r>
          </w:p>
        </w:tc>
        <w:tc>
          <w:tcPr>
            <w:tcW w:w="755" w:type="pct"/>
            <w:vAlign w:val="center"/>
          </w:tcPr>
          <w:p w14:paraId="47ECC914">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分项预算总价（元）</w:t>
            </w:r>
          </w:p>
        </w:tc>
        <w:tc>
          <w:tcPr>
            <w:tcW w:w="431" w:type="pct"/>
            <w:vAlign w:val="center"/>
          </w:tcPr>
          <w:p w14:paraId="68A834E0">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权重%</w:t>
            </w:r>
          </w:p>
        </w:tc>
        <w:tc>
          <w:tcPr>
            <w:tcW w:w="371" w:type="pct"/>
            <w:vAlign w:val="center"/>
          </w:tcPr>
          <w:p w14:paraId="1B68BA17">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所属行业</w:t>
            </w:r>
          </w:p>
        </w:tc>
        <w:tc>
          <w:tcPr>
            <w:tcW w:w="297" w:type="pct"/>
            <w:vAlign w:val="center"/>
          </w:tcPr>
          <w:p w14:paraId="0558B133">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技术要求</w:t>
            </w:r>
          </w:p>
        </w:tc>
      </w:tr>
      <w:tr w14:paraId="34CEF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0" w:hRule="atLeast"/>
        </w:trPr>
        <w:tc>
          <w:tcPr>
            <w:tcW w:w="280" w:type="pct"/>
            <w:vAlign w:val="center"/>
          </w:tcPr>
          <w:p w14:paraId="276C2B84">
            <w:pPr>
              <w:jc w:val="center"/>
              <w:rPr>
                <w:rFonts w:hint="eastAsia" w:ascii="宋体" w:hAnsi="宋体" w:eastAsia="宋体" w:cs="宋体"/>
                <w:szCs w:val="21"/>
              </w:rPr>
            </w:pPr>
            <w:r>
              <w:rPr>
                <w:rFonts w:hint="eastAsia" w:ascii="宋体" w:hAnsi="宋体" w:eastAsia="宋体" w:cs="宋体"/>
                <w:szCs w:val="21"/>
              </w:rPr>
              <w:t>1</w:t>
            </w:r>
          </w:p>
        </w:tc>
        <w:tc>
          <w:tcPr>
            <w:tcW w:w="680" w:type="pct"/>
            <w:vAlign w:val="center"/>
          </w:tcPr>
          <w:p w14:paraId="3969B53A">
            <w:pPr>
              <w:jc w:val="center"/>
              <w:rPr>
                <w:rFonts w:hint="eastAsia" w:ascii="宋体" w:hAnsi="宋体" w:eastAsia="宋体" w:cs="宋体"/>
                <w:szCs w:val="21"/>
              </w:rPr>
            </w:pPr>
            <w:r>
              <w:rPr>
                <w:rFonts w:hint="eastAsia" w:ascii="宋体" w:hAnsi="宋体" w:eastAsia="宋体" w:cs="宋体"/>
                <w:szCs w:val="21"/>
              </w:rPr>
              <w:t>C20020800环境评估服务</w:t>
            </w:r>
          </w:p>
        </w:tc>
        <w:tc>
          <w:tcPr>
            <w:tcW w:w="878" w:type="pct"/>
            <w:vAlign w:val="center"/>
          </w:tcPr>
          <w:p w14:paraId="66888688">
            <w:pPr>
              <w:jc w:val="center"/>
              <w:rPr>
                <w:rFonts w:hint="eastAsia" w:ascii="宋体" w:hAnsi="宋体" w:eastAsia="宋体" w:cs="宋体"/>
                <w:szCs w:val="21"/>
              </w:rPr>
            </w:pPr>
            <w:r>
              <w:rPr>
                <w:rFonts w:hint="eastAsia" w:ascii="宋体" w:hAnsi="宋体" w:eastAsia="宋体" w:cs="宋体"/>
                <w:szCs w:val="21"/>
              </w:rPr>
              <w:t>韶关市浈江区、仁化县农用地土壤重金属污染溯源项目（2025年）</w:t>
            </w:r>
          </w:p>
        </w:tc>
        <w:tc>
          <w:tcPr>
            <w:tcW w:w="279" w:type="pct"/>
            <w:vAlign w:val="center"/>
          </w:tcPr>
          <w:p w14:paraId="352EA4B4">
            <w:pPr>
              <w:jc w:val="center"/>
              <w:rPr>
                <w:rFonts w:hint="eastAsia" w:ascii="宋体" w:hAnsi="宋体" w:eastAsia="宋体" w:cs="宋体"/>
                <w:szCs w:val="21"/>
              </w:rPr>
            </w:pPr>
            <w:r>
              <w:rPr>
                <w:rFonts w:hint="eastAsia" w:ascii="宋体" w:hAnsi="宋体" w:eastAsia="宋体" w:cs="宋体"/>
                <w:szCs w:val="21"/>
              </w:rPr>
              <w:t>项</w:t>
            </w:r>
          </w:p>
        </w:tc>
        <w:tc>
          <w:tcPr>
            <w:tcW w:w="296" w:type="pct"/>
            <w:vAlign w:val="center"/>
          </w:tcPr>
          <w:p w14:paraId="423EC099">
            <w:pPr>
              <w:jc w:val="center"/>
              <w:rPr>
                <w:rFonts w:hint="eastAsia" w:ascii="宋体" w:hAnsi="宋体" w:eastAsia="宋体" w:cs="宋体"/>
                <w:szCs w:val="21"/>
              </w:rPr>
            </w:pPr>
            <w:r>
              <w:rPr>
                <w:rFonts w:hint="eastAsia" w:ascii="宋体" w:hAnsi="宋体" w:eastAsia="宋体" w:cs="宋体"/>
                <w:szCs w:val="21"/>
              </w:rPr>
              <w:t>1</w:t>
            </w:r>
          </w:p>
        </w:tc>
        <w:tc>
          <w:tcPr>
            <w:tcW w:w="733" w:type="pct"/>
            <w:vAlign w:val="center"/>
          </w:tcPr>
          <w:p w14:paraId="312477AA">
            <w:pPr>
              <w:jc w:val="center"/>
              <w:rPr>
                <w:rFonts w:hint="eastAsia" w:ascii="宋体" w:hAnsi="宋体" w:eastAsia="宋体" w:cs="宋体"/>
                <w:szCs w:val="21"/>
              </w:rPr>
            </w:pPr>
            <w:r>
              <w:rPr>
                <w:rFonts w:hint="eastAsia" w:ascii="宋体" w:hAnsi="宋体" w:eastAsia="宋体" w:cs="宋体"/>
                <w:szCs w:val="21"/>
              </w:rPr>
              <w:t>3510000.00</w:t>
            </w:r>
          </w:p>
        </w:tc>
        <w:tc>
          <w:tcPr>
            <w:tcW w:w="755" w:type="pct"/>
            <w:vAlign w:val="center"/>
          </w:tcPr>
          <w:p w14:paraId="03FEB3E7">
            <w:pPr>
              <w:jc w:val="center"/>
              <w:rPr>
                <w:rFonts w:hint="eastAsia" w:ascii="宋体" w:hAnsi="宋体" w:eastAsia="宋体" w:cs="宋体"/>
                <w:szCs w:val="21"/>
              </w:rPr>
            </w:pPr>
            <w:r>
              <w:rPr>
                <w:rFonts w:hint="eastAsia" w:ascii="宋体" w:hAnsi="宋体" w:eastAsia="宋体" w:cs="宋体"/>
                <w:szCs w:val="21"/>
              </w:rPr>
              <w:t>3510000.00</w:t>
            </w:r>
          </w:p>
        </w:tc>
        <w:tc>
          <w:tcPr>
            <w:tcW w:w="431" w:type="pct"/>
            <w:vAlign w:val="center"/>
          </w:tcPr>
          <w:p w14:paraId="41C4A842">
            <w:pPr>
              <w:jc w:val="center"/>
              <w:rPr>
                <w:rFonts w:hint="eastAsia" w:ascii="宋体" w:hAnsi="宋体" w:eastAsia="宋体" w:cs="宋体"/>
                <w:szCs w:val="21"/>
              </w:rPr>
            </w:pPr>
            <w:r>
              <w:rPr>
                <w:rFonts w:hint="eastAsia" w:ascii="宋体" w:hAnsi="宋体" w:eastAsia="宋体" w:cs="宋体"/>
                <w:szCs w:val="21"/>
              </w:rPr>
              <w:t>100.0</w:t>
            </w:r>
          </w:p>
        </w:tc>
        <w:tc>
          <w:tcPr>
            <w:tcW w:w="371" w:type="pct"/>
            <w:vAlign w:val="center"/>
          </w:tcPr>
          <w:p w14:paraId="0CE41325">
            <w:pPr>
              <w:jc w:val="center"/>
              <w:rPr>
                <w:rFonts w:hint="eastAsia" w:ascii="宋体" w:hAnsi="宋体" w:eastAsia="宋体" w:cs="宋体"/>
                <w:szCs w:val="21"/>
              </w:rPr>
            </w:pPr>
            <w:r>
              <w:rPr>
                <w:rFonts w:hint="eastAsia" w:ascii="宋体" w:hAnsi="宋体" w:eastAsia="宋体" w:cs="宋体"/>
                <w:szCs w:val="21"/>
              </w:rPr>
              <w:t>其他未列明行业</w:t>
            </w:r>
          </w:p>
        </w:tc>
        <w:tc>
          <w:tcPr>
            <w:tcW w:w="297" w:type="pct"/>
            <w:vAlign w:val="center"/>
          </w:tcPr>
          <w:p w14:paraId="35886625">
            <w:pPr>
              <w:jc w:val="center"/>
              <w:rPr>
                <w:rFonts w:hint="eastAsia" w:ascii="宋体" w:hAnsi="宋体" w:eastAsia="宋体" w:cs="宋体"/>
                <w:szCs w:val="21"/>
              </w:rPr>
            </w:pPr>
            <w:r>
              <w:rPr>
                <w:rFonts w:hint="eastAsia" w:ascii="宋体" w:hAnsi="宋体" w:eastAsia="宋体" w:cs="宋体"/>
                <w:szCs w:val="21"/>
              </w:rPr>
              <w:t>详见附表一</w:t>
            </w:r>
          </w:p>
        </w:tc>
      </w:tr>
      <w:tr w14:paraId="16C75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0" w:hRule="atLeast"/>
        </w:trPr>
        <w:tc>
          <w:tcPr>
            <w:tcW w:w="280" w:type="pct"/>
            <w:vAlign w:val="center"/>
          </w:tcPr>
          <w:p w14:paraId="7D3E98F2">
            <w:pPr>
              <w:jc w:val="center"/>
              <w:rPr>
                <w:rFonts w:hint="eastAsia" w:ascii="宋体" w:hAnsi="宋体" w:eastAsia="宋体" w:cs="宋体"/>
                <w:szCs w:val="21"/>
              </w:rPr>
            </w:pPr>
            <w:r>
              <w:rPr>
                <w:rFonts w:hint="eastAsia" w:ascii="宋体" w:hAnsi="宋体" w:eastAsia="宋体" w:cs="宋体"/>
                <w:szCs w:val="21"/>
              </w:rPr>
              <w:t>2</w:t>
            </w:r>
          </w:p>
        </w:tc>
        <w:tc>
          <w:tcPr>
            <w:tcW w:w="680" w:type="pct"/>
            <w:vAlign w:val="center"/>
          </w:tcPr>
          <w:p w14:paraId="37996CE5">
            <w:pPr>
              <w:jc w:val="center"/>
              <w:rPr>
                <w:rFonts w:hint="eastAsia" w:ascii="宋体" w:hAnsi="宋体" w:eastAsia="宋体" w:cs="宋体"/>
                <w:szCs w:val="21"/>
              </w:rPr>
            </w:pPr>
            <w:r>
              <w:rPr>
                <w:rFonts w:hint="eastAsia" w:ascii="宋体" w:hAnsi="宋体" w:eastAsia="宋体" w:cs="宋体"/>
                <w:szCs w:val="21"/>
              </w:rPr>
              <w:t>C20020800环境评估服务</w:t>
            </w:r>
          </w:p>
        </w:tc>
        <w:tc>
          <w:tcPr>
            <w:tcW w:w="878" w:type="pct"/>
            <w:vAlign w:val="center"/>
          </w:tcPr>
          <w:p w14:paraId="4B01923A">
            <w:pPr>
              <w:jc w:val="center"/>
              <w:rPr>
                <w:rFonts w:hint="eastAsia" w:ascii="宋体" w:hAnsi="宋体" w:eastAsia="宋体" w:cs="宋体"/>
                <w:szCs w:val="21"/>
              </w:rPr>
            </w:pPr>
            <w:r>
              <w:rPr>
                <w:rFonts w:hint="eastAsia" w:ascii="宋体" w:hAnsi="宋体" w:eastAsia="宋体" w:cs="宋体"/>
                <w:szCs w:val="21"/>
              </w:rPr>
              <w:t>韶关市武江区、翁源县农用地土壤重金属污染溯源项目（2025年）</w:t>
            </w:r>
          </w:p>
        </w:tc>
        <w:tc>
          <w:tcPr>
            <w:tcW w:w="279" w:type="pct"/>
            <w:vAlign w:val="center"/>
          </w:tcPr>
          <w:p w14:paraId="58AC2156">
            <w:pPr>
              <w:jc w:val="center"/>
              <w:rPr>
                <w:rFonts w:hint="eastAsia" w:ascii="宋体" w:hAnsi="宋体" w:eastAsia="宋体" w:cs="宋体"/>
                <w:szCs w:val="21"/>
              </w:rPr>
            </w:pPr>
            <w:r>
              <w:rPr>
                <w:rFonts w:hint="eastAsia" w:ascii="宋体" w:hAnsi="宋体" w:eastAsia="宋体" w:cs="宋体"/>
                <w:szCs w:val="21"/>
              </w:rPr>
              <w:t>项</w:t>
            </w:r>
          </w:p>
        </w:tc>
        <w:tc>
          <w:tcPr>
            <w:tcW w:w="296" w:type="pct"/>
            <w:vAlign w:val="center"/>
          </w:tcPr>
          <w:p w14:paraId="7A4074FC">
            <w:pPr>
              <w:jc w:val="center"/>
              <w:rPr>
                <w:rFonts w:hint="eastAsia" w:ascii="宋体" w:hAnsi="宋体" w:eastAsia="宋体" w:cs="宋体"/>
                <w:szCs w:val="21"/>
              </w:rPr>
            </w:pPr>
            <w:r>
              <w:rPr>
                <w:rFonts w:hint="eastAsia" w:ascii="宋体" w:hAnsi="宋体" w:eastAsia="宋体" w:cs="宋体"/>
                <w:szCs w:val="21"/>
              </w:rPr>
              <w:t>1</w:t>
            </w:r>
          </w:p>
        </w:tc>
        <w:tc>
          <w:tcPr>
            <w:tcW w:w="733" w:type="pct"/>
            <w:vAlign w:val="center"/>
          </w:tcPr>
          <w:p w14:paraId="6FD60FA3">
            <w:pPr>
              <w:jc w:val="center"/>
              <w:rPr>
                <w:rFonts w:hint="eastAsia" w:ascii="宋体" w:hAnsi="宋体" w:eastAsia="宋体" w:cs="宋体"/>
                <w:szCs w:val="21"/>
              </w:rPr>
            </w:pPr>
            <w:r>
              <w:rPr>
                <w:rFonts w:hint="eastAsia" w:ascii="宋体" w:hAnsi="宋体" w:eastAsia="宋体" w:cs="宋体"/>
                <w:szCs w:val="21"/>
              </w:rPr>
              <w:t>3150000.00</w:t>
            </w:r>
          </w:p>
        </w:tc>
        <w:tc>
          <w:tcPr>
            <w:tcW w:w="755" w:type="pct"/>
            <w:vAlign w:val="center"/>
          </w:tcPr>
          <w:p w14:paraId="3F71EEAE">
            <w:pPr>
              <w:jc w:val="center"/>
              <w:rPr>
                <w:rFonts w:hint="eastAsia" w:ascii="宋体" w:hAnsi="宋体" w:eastAsia="宋体" w:cs="宋体"/>
                <w:szCs w:val="21"/>
              </w:rPr>
            </w:pPr>
            <w:r>
              <w:rPr>
                <w:rFonts w:hint="eastAsia" w:ascii="宋体" w:hAnsi="宋体" w:eastAsia="宋体" w:cs="宋体"/>
                <w:szCs w:val="21"/>
              </w:rPr>
              <w:t>3150000.00</w:t>
            </w:r>
          </w:p>
        </w:tc>
        <w:tc>
          <w:tcPr>
            <w:tcW w:w="431" w:type="pct"/>
            <w:vAlign w:val="center"/>
          </w:tcPr>
          <w:p w14:paraId="1FCFBD78">
            <w:pPr>
              <w:jc w:val="center"/>
              <w:rPr>
                <w:rFonts w:hint="eastAsia" w:ascii="宋体" w:hAnsi="宋体" w:eastAsia="宋体" w:cs="宋体"/>
                <w:szCs w:val="21"/>
              </w:rPr>
            </w:pPr>
            <w:r>
              <w:rPr>
                <w:rFonts w:hint="eastAsia" w:ascii="宋体" w:hAnsi="宋体" w:eastAsia="宋体" w:cs="宋体"/>
                <w:szCs w:val="21"/>
              </w:rPr>
              <w:t>100.0</w:t>
            </w:r>
          </w:p>
        </w:tc>
        <w:tc>
          <w:tcPr>
            <w:tcW w:w="371" w:type="pct"/>
            <w:vAlign w:val="center"/>
          </w:tcPr>
          <w:p w14:paraId="3F51A768">
            <w:pPr>
              <w:jc w:val="center"/>
              <w:rPr>
                <w:rFonts w:hint="eastAsia" w:ascii="宋体" w:hAnsi="宋体" w:eastAsia="宋体" w:cs="宋体"/>
              </w:rPr>
            </w:pPr>
            <w:r>
              <w:rPr>
                <w:rFonts w:hint="eastAsia" w:ascii="宋体" w:hAnsi="宋体" w:eastAsia="宋体" w:cs="宋体"/>
                <w:szCs w:val="21"/>
              </w:rPr>
              <w:t>其他未列明行业</w:t>
            </w:r>
          </w:p>
        </w:tc>
        <w:tc>
          <w:tcPr>
            <w:tcW w:w="297" w:type="pct"/>
            <w:vAlign w:val="center"/>
          </w:tcPr>
          <w:p w14:paraId="6B5D9301">
            <w:pPr>
              <w:jc w:val="center"/>
              <w:rPr>
                <w:rFonts w:hint="eastAsia" w:ascii="宋体" w:hAnsi="宋体" w:eastAsia="宋体" w:cs="宋体"/>
                <w:szCs w:val="21"/>
              </w:rPr>
            </w:pPr>
            <w:r>
              <w:rPr>
                <w:rFonts w:hint="eastAsia" w:ascii="宋体" w:hAnsi="宋体" w:eastAsia="宋体" w:cs="宋体"/>
                <w:szCs w:val="21"/>
              </w:rPr>
              <w:t>详见附表一</w:t>
            </w:r>
          </w:p>
        </w:tc>
      </w:tr>
    </w:tbl>
    <w:p w14:paraId="2AC65E1D">
      <w:pPr>
        <w:rPr>
          <w:rFonts w:hint="eastAsia" w:ascii="宋体" w:hAnsi="宋体" w:eastAsia="宋体" w:cs="宋体"/>
          <w:b/>
          <w:szCs w:val="21"/>
        </w:rPr>
      </w:pPr>
    </w:p>
    <w:p w14:paraId="7C5D30E1">
      <w:pPr>
        <w:rPr>
          <w:rFonts w:hint="eastAsia" w:ascii="宋体" w:hAnsi="宋体" w:eastAsia="宋体" w:cs="宋体"/>
          <w:szCs w:val="21"/>
        </w:rPr>
      </w:pPr>
      <w:r>
        <w:rPr>
          <w:rFonts w:hint="eastAsia" w:ascii="宋体" w:hAnsi="宋体" w:eastAsia="宋体" w:cs="宋体"/>
          <w:szCs w:val="21"/>
        </w:rPr>
        <w:t>备注：最终综合总报价=（各产品报价×各项产品权重）的相加值</w:t>
      </w:r>
    </w:p>
    <w:p w14:paraId="1C29DE91">
      <w:pPr>
        <w:rPr>
          <w:rFonts w:hint="eastAsia" w:ascii="宋体" w:hAnsi="宋体" w:eastAsia="宋体" w:cs="宋体"/>
          <w:szCs w:val="21"/>
        </w:rPr>
      </w:pPr>
      <w:r>
        <w:rPr>
          <w:rFonts w:hint="eastAsia" w:ascii="宋体" w:hAnsi="宋体" w:eastAsia="宋体" w:cs="宋体"/>
          <w:szCs w:val="21"/>
        </w:rPr>
        <w:t>注：若存在多项核心产品，当不同供应商提供的任意一项核心产品的品牌相同，则视同其是所响应核心产品品牌相同供应商。</w:t>
      </w:r>
    </w:p>
    <w:p w14:paraId="69CBA123">
      <w:pPr>
        <w:rPr>
          <w:rFonts w:hint="eastAsia" w:ascii="宋体" w:hAnsi="宋体" w:eastAsia="宋体" w:cs="宋体"/>
          <w:b/>
          <w:szCs w:val="21"/>
        </w:rPr>
      </w:pPr>
    </w:p>
    <w:p w14:paraId="383ECFF9">
      <w:pPr>
        <w:rPr>
          <w:rFonts w:hint="eastAsia" w:ascii="宋体" w:hAnsi="宋体" w:eastAsia="宋体" w:cs="宋体"/>
          <w:szCs w:val="21"/>
          <w:lang w:val="en"/>
        </w:rPr>
      </w:pPr>
      <w:r>
        <w:rPr>
          <w:rFonts w:hint="eastAsia" w:ascii="宋体" w:hAnsi="宋体" w:eastAsia="宋体" w:cs="宋体"/>
          <w:b/>
          <w:szCs w:val="21"/>
        </w:rPr>
        <w:t>附表一：</w:t>
      </w:r>
      <w:r>
        <w:rPr>
          <w:rFonts w:hint="eastAsia" w:ascii="宋体" w:hAnsi="宋体" w:eastAsia="宋体" w:cs="宋体"/>
          <w:szCs w:val="21"/>
        </w:rPr>
        <w:t>韶关市农用地土壤重金属污染溯源项目（2025年）</w:t>
      </w:r>
    </w:p>
    <w:tbl>
      <w:tblPr>
        <w:tblStyle w:val="22"/>
        <w:tblW w:w="5624"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0"/>
        <w:gridCol w:w="510"/>
        <w:gridCol w:w="8269"/>
      </w:tblGrid>
      <w:tr w14:paraId="19750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7" w:hRule="atLeast"/>
          <w:jc w:val="center"/>
        </w:trPr>
        <w:tc>
          <w:tcPr>
            <w:tcW w:w="418" w:type="pct"/>
            <w:vAlign w:val="center"/>
          </w:tcPr>
          <w:p w14:paraId="43D3B59D">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参数性质</w:t>
            </w:r>
          </w:p>
        </w:tc>
        <w:tc>
          <w:tcPr>
            <w:tcW w:w="266" w:type="pct"/>
            <w:vAlign w:val="center"/>
          </w:tcPr>
          <w:p w14:paraId="09BF8E49">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序号</w:t>
            </w:r>
          </w:p>
        </w:tc>
        <w:tc>
          <w:tcPr>
            <w:tcW w:w="4316" w:type="pct"/>
            <w:vAlign w:val="center"/>
          </w:tcPr>
          <w:p w14:paraId="2702482C">
            <w:pPr>
              <w:pStyle w:val="12"/>
              <w:spacing w:line="240" w:lineRule="auto"/>
              <w:ind w:left="0" w:firstLine="0" w:firstLineChars="0"/>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具体技术(参数)要求</w:t>
            </w:r>
          </w:p>
        </w:tc>
      </w:tr>
      <w:tr w14:paraId="68D9E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2" w:hRule="atLeast"/>
          <w:jc w:val="center"/>
        </w:trPr>
        <w:tc>
          <w:tcPr>
            <w:tcW w:w="418" w:type="pct"/>
          </w:tcPr>
          <w:p w14:paraId="52D43797">
            <w:pPr>
              <w:spacing w:line="360" w:lineRule="auto"/>
              <w:rPr>
                <w:rFonts w:hint="eastAsia" w:ascii="宋体" w:hAnsi="宋体" w:eastAsia="宋体" w:cs="宋体"/>
                <w:szCs w:val="21"/>
              </w:rPr>
            </w:pPr>
          </w:p>
        </w:tc>
        <w:tc>
          <w:tcPr>
            <w:tcW w:w="266" w:type="pct"/>
            <w:vAlign w:val="center"/>
          </w:tcPr>
          <w:p w14:paraId="675FC932">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4316" w:type="pct"/>
          </w:tcPr>
          <w:p w14:paraId="44D57AF8">
            <w:pPr>
              <w:keepNext/>
              <w:keepLines/>
              <w:spacing w:line="360" w:lineRule="auto"/>
              <w:ind w:firstLine="211" w:firstLineChars="100"/>
              <w:rPr>
                <w:rFonts w:ascii="宋体" w:hAnsi="宋体" w:eastAsia="宋体" w:cs="宋体"/>
                <w:b/>
                <w:bCs/>
                <w:szCs w:val="21"/>
              </w:rPr>
            </w:pPr>
            <w:r>
              <w:rPr>
                <w:rFonts w:hint="eastAsia" w:ascii="宋体" w:hAnsi="宋体" w:eastAsia="宋体" w:cs="宋体"/>
                <w:b/>
                <w:bCs/>
                <w:szCs w:val="21"/>
              </w:rPr>
              <w:t>主要工作内容</w:t>
            </w:r>
          </w:p>
          <w:p w14:paraId="3A7BD97E">
            <w:pPr>
              <w:keepNext/>
              <w:keepLines/>
              <w:spacing w:line="360" w:lineRule="auto"/>
              <w:ind w:firstLine="210" w:firstLineChars="100"/>
              <w:rPr>
                <w:rFonts w:ascii="宋体" w:hAnsi="宋体" w:eastAsia="宋体" w:cs="宋体"/>
                <w:szCs w:val="21"/>
              </w:rPr>
            </w:pPr>
            <w:r>
              <w:rPr>
                <w:rFonts w:hint="eastAsia" w:ascii="宋体" w:hAnsi="宋体" w:eastAsia="宋体" w:cs="宋体"/>
                <w:szCs w:val="21"/>
              </w:rPr>
              <w:t>包组1：主要针对韶关市浈江区、仁化县2个区域的全部受污染农用地，通过信息资料收集、现场查勘访谈、土壤污染成因研判等，识别农用地土壤重金属潜在污染源。</w:t>
            </w:r>
          </w:p>
          <w:p w14:paraId="7E2F226C">
            <w:pPr>
              <w:keepNext/>
              <w:keepLines/>
              <w:spacing w:line="360" w:lineRule="auto"/>
              <w:ind w:firstLine="210" w:firstLineChars="100"/>
              <w:rPr>
                <w:rFonts w:hint="eastAsia" w:ascii="宋体" w:hAnsi="宋体" w:eastAsia="宋体" w:cs="宋体"/>
                <w:szCs w:val="21"/>
              </w:rPr>
            </w:pPr>
            <w:r>
              <w:rPr>
                <w:rFonts w:hint="eastAsia" w:ascii="宋体" w:hAnsi="宋体" w:eastAsia="宋体" w:cs="宋体"/>
                <w:szCs w:val="21"/>
              </w:rPr>
              <w:t>包组2：主要针对韶关市武江区、翁源县2个区域的全部受污染农用地，通过信息资料收集、现场查勘访谈、土壤污染成因研判等，识别农用地土壤重金属潜在污染源。</w:t>
            </w:r>
          </w:p>
        </w:tc>
      </w:tr>
      <w:tr w14:paraId="682DD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07" w:hRule="atLeast"/>
          <w:jc w:val="center"/>
        </w:trPr>
        <w:tc>
          <w:tcPr>
            <w:tcW w:w="418" w:type="pct"/>
            <w:vAlign w:val="center"/>
          </w:tcPr>
          <w:p w14:paraId="4800914D">
            <w:pPr>
              <w:spacing w:line="360" w:lineRule="auto"/>
              <w:jc w:val="center"/>
              <w:rPr>
                <w:rFonts w:hint="eastAsia" w:ascii="宋体" w:hAnsi="宋体" w:eastAsia="宋体" w:cs="宋体"/>
                <w:szCs w:val="21"/>
              </w:rPr>
            </w:pPr>
            <w:r>
              <w:rPr>
                <w:rFonts w:hint="eastAsia" w:ascii="宋体" w:hAnsi="宋体" w:eastAsia="宋体" w:cs="宋体"/>
                <w:szCs w:val="21"/>
              </w:rPr>
              <w:t>说明</w:t>
            </w:r>
          </w:p>
        </w:tc>
        <w:tc>
          <w:tcPr>
            <w:tcW w:w="4582" w:type="pct"/>
            <w:gridSpan w:val="2"/>
          </w:tcPr>
          <w:p w14:paraId="0B7E8229">
            <w:pPr>
              <w:spacing w:line="360" w:lineRule="auto"/>
              <w:jc w:val="left"/>
              <w:rPr>
                <w:rFonts w:hint="eastAsia" w:ascii="宋体" w:hAnsi="宋体" w:eastAsia="宋体" w:cs="宋体"/>
                <w:szCs w:val="21"/>
              </w:rPr>
            </w:pPr>
            <w:r>
              <w:rPr>
                <w:rFonts w:hint="eastAsia" w:ascii="宋体" w:hAnsi="宋体" w:eastAsia="宋体" w:cs="宋体"/>
                <w:szCs w:val="21"/>
              </w:rPr>
              <w:t>打“★”号条款为实质性条款，若有任何一条负偏离或不满足则导致投标（响应）无效。</w:t>
            </w:r>
            <w:r>
              <w:rPr>
                <w:rFonts w:hint="eastAsia" w:ascii="宋体" w:hAnsi="宋体" w:eastAsia="宋体" w:cs="宋体"/>
                <w:szCs w:val="21"/>
              </w:rPr>
              <w:br w:type="textWrapping"/>
            </w:r>
            <w:r>
              <w:rPr>
                <w:rFonts w:hint="eastAsia" w:ascii="宋体" w:hAnsi="宋体" w:eastAsia="宋体" w:cs="宋体"/>
                <w:szCs w:val="21"/>
              </w:rPr>
              <w:t>打“▲”号条款为重要技术参数（如有），若有部分“▲”条款未响应或不满足，将根据评审要求影响其得分，但不作为无效投标（响应）条款。</w:t>
            </w:r>
          </w:p>
        </w:tc>
      </w:tr>
    </w:tbl>
    <w:p w14:paraId="05385774">
      <w:pPr>
        <w:rPr>
          <w:rFonts w:hint="eastAsia" w:ascii="宋体" w:hAnsi="宋体" w:eastAsia="宋体" w:cs="宋体"/>
          <w:szCs w:val="21"/>
        </w:rPr>
      </w:pPr>
    </w:p>
    <w:sectPr>
      <w:headerReference r:id="rId3" w:type="default"/>
      <w:footerReference r:id="rId4" w:type="default"/>
      <w:type w:val="continuous"/>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4D117CFB">
        <w:pPr>
          <w:pStyle w:val="16"/>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29B5">
    <w:pPr>
      <w:pStyle w:val="1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YTU4N2I4YzE2YjM5NjM2YjM3OTAwNmM2ZTljM2UifQ=="/>
  </w:docVars>
  <w:rsids>
    <w:rsidRoot w:val="008F294C"/>
    <w:rsid w:val="00017EC7"/>
    <w:rsid w:val="0003109B"/>
    <w:rsid w:val="00033C45"/>
    <w:rsid w:val="0005284C"/>
    <w:rsid w:val="00054A11"/>
    <w:rsid w:val="000762D5"/>
    <w:rsid w:val="000935C6"/>
    <w:rsid w:val="000A7AFC"/>
    <w:rsid w:val="000B2854"/>
    <w:rsid w:val="000C429D"/>
    <w:rsid w:val="000D2BC3"/>
    <w:rsid w:val="000E6FC2"/>
    <w:rsid w:val="001003C8"/>
    <w:rsid w:val="0011378F"/>
    <w:rsid w:val="001250A0"/>
    <w:rsid w:val="001260A5"/>
    <w:rsid w:val="00147E74"/>
    <w:rsid w:val="0016016F"/>
    <w:rsid w:val="001834EA"/>
    <w:rsid w:val="001841F3"/>
    <w:rsid w:val="0018752F"/>
    <w:rsid w:val="001D1349"/>
    <w:rsid w:val="001F72EA"/>
    <w:rsid w:val="002001EF"/>
    <w:rsid w:val="002033DB"/>
    <w:rsid w:val="00212F08"/>
    <w:rsid w:val="002169C6"/>
    <w:rsid w:val="002175D5"/>
    <w:rsid w:val="0022176A"/>
    <w:rsid w:val="00225A3F"/>
    <w:rsid w:val="00245536"/>
    <w:rsid w:val="0025311A"/>
    <w:rsid w:val="00254F64"/>
    <w:rsid w:val="00255E05"/>
    <w:rsid w:val="00276DCD"/>
    <w:rsid w:val="002C181E"/>
    <w:rsid w:val="002C3634"/>
    <w:rsid w:val="002E4D1F"/>
    <w:rsid w:val="00314F7E"/>
    <w:rsid w:val="00317C9C"/>
    <w:rsid w:val="0032514A"/>
    <w:rsid w:val="003437B1"/>
    <w:rsid w:val="00344C2F"/>
    <w:rsid w:val="0035465B"/>
    <w:rsid w:val="00362B69"/>
    <w:rsid w:val="00385822"/>
    <w:rsid w:val="00385995"/>
    <w:rsid w:val="003928D9"/>
    <w:rsid w:val="003E413B"/>
    <w:rsid w:val="003F1CC5"/>
    <w:rsid w:val="003F60A1"/>
    <w:rsid w:val="00412469"/>
    <w:rsid w:val="00424A97"/>
    <w:rsid w:val="004462FE"/>
    <w:rsid w:val="004678AA"/>
    <w:rsid w:val="00475E63"/>
    <w:rsid w:val="004765E2"/>
    <w:rsid w:val="0048273F"/>
    <w:rsid w:val="00482D8C"/>
    <w:rsid w:val="00483773"/>
    <w:rsid w:val="00495EBA"/>
    <w:rsid w:val="004D68A6"/>
    <w:rsid w:val="004E0223"/>
    <w:rsid w:val="004F0BA3"/>
    <w:rsid w:val="005054ED"/>
    <w:rsid w:val="0050637C"/>
    <w:rsid w:val="00513686"/>
    <w:rsid w:val="00535489"/>
    <w:rsid w:val="00564C6D"/>
    <w:rsid w:val="00572F3B"/>
    <w:rsid w:val="00597A7C"/>
    <w:rsid w:val="005A55DD"/>
    <w:rsid w:val="005A5926"/>
    <w:rsid w:val="005C43B4"/>
    <w:rsid w:val="005C71D6"/>
    <w:rsid w:val="005F4DB6"/>
    <w:rsid w:val="00600E35"/>
    <w:rsid w:val="0060634A"/>
    <w:rsid w:val="00653B6E"/>
    <w:rsid w:val="00663784"/>
    <w:rsid w:val="006725E6"/>
    <w:rsid w:val="006A6D70"/>
    <w:rsid w:val="006A7115"/>
    <w:rsid w:val="006A78FE"/>
    <w:rsid w:val="006B6A96"/>
    <w:rsid w:val="006E4B91"/>
    <w:rsid w:val="006F1648"/>
    <w:rsid w:val="007000E9"/>
    <w:rsid w:val="00710B61"/>
    <w:rsid w:val="00721ECA"/>
    <w:rsid w:val="007263B4"/>
    <w:rsid w:val="00745DA6"/>
    <w:rsid w:val="00747877"/>
    <w:rsid w:val="00757E0E"/>
    <w:rsid w:val="007879F5"/>
    <w:rsid w:val="00795440"/>
    <w:rsid w:val="007A5ACA"/>
    <w:rsid w:val="007A6F63"/>
    <w:rsid w:val="007C68B1"/>
    <w:rsid w:val="00801555"/>
    <w:rsid w:val="0080439A"/>
    <w:rsid w:val="00805922"/>
    <w:rsid w:val="0081176D"/>
    <w:rsid w:val="00811888"/>
    <w:rsid w:val="0083635E"/>
    <w:rsid w:val="00841D3F"/>
    <w:rsid w:val="00860E4A"/>
    <w:rsid w:val="00883AD5"/>
    <w:rsid w:val="0089687D"/>
    <w:rsid w:val="0089739C"/>
    <w:rsid w:val="008C41B2"/>
    <w:rsid w:val="008D3B15"/>
    <w:rsid w:val="008F294C"/>
    <w:rsid w:val="009004DB"/>
    <w:rsid w:val="00901872"/>
    <w:rsid w:val="00925546"/>
    <w:rsid w:val="00937842"/>
    <w:rsid w:val="00965317"/>
    <w:rsid w:val="00970F35"/>
    <w:rsid w:val="009778C7"/>
    <w:rsid w:val="00984983"/>
    <w:rsid w:val="009B15EB"/>
    <w:rsid w:val="009B5026"/>
    <w:rsid w:val="009D6B77"/>
    <w:rsid w:val="009E5390"/>
    <w:rsid w:val="00A01D02"/>
    <w:rsid w:val="00A05B88"/>
    <w:rsid w:val="00A153A7"/>
    <w:rsid w:val="00A52B45"/>
    <w:rsid w:val="00A61B87"/>
    <w:rsid w:val="00A64B7B"/>
    <w:rsid w:val="00A670CE"/>
    <w:rsid w:val="00A93230"/>
    <w:rsid w:val="00AC0453"/>
    <w:rsid w:val="00AE4888"/>
    <w:rsid w:val="00AE6905"/>
    <w:rsid w:val="00AF17C0"/>
    <w:rsid w:val="00B270BA"/>
    <w:rsid w:val="00B705A2"/>
    <w:rsid w:val="00B968B6"/>
    <w:rsid w:val="00BC1838"/>
    <w:rsid w:val="00BC4524"/>
    <w:rsid w:val="00BD789C"/>
    <w:rsid w:val="00BE1A28"/>
    <w:rsid w:val="00BE1D36"/>
    <w:rsid w:val="00BE4E22"/>
    <w:rsid w:val="00C00265"/>
    <w:rsid w:val="00C014DB"/>
    <w:rsid w:val="00C119F8"/>
    <w:rsid w:val="00C15EE4"/>
    <w:rsid w:val="00C31CEC"/>
    <w:rsid w:val="00C55A1E"/>
    <w:rsid w:val="00C62E68"/>
    <w:rsid w:val="00C64291"/>
    <w:rsid w:val="00C716DF"/>
    <w:rsid w:val="00CC19A6"/>
    <w:rsid w:val="00CD0F7A"/>
    <w:rsid w:val="00CD344F"/>
    <w:rsid w:val="00CE01F6"/>
    <w:rsid w:val="00CE04E7"/>
    <w:rsid w:val="00CF384C"/>
    <w:rsid w:val="00D179DF"/>
    <w:rsid w:val="00D3200B"/>
    <w:rsid w:val="00D33AD0"/>
    <w:rsid w:val="00D50F38"/>
    <w:rsid w:val="00D65806"/>
    <w:rsid w:val="00D91AC4"/>
    <w:rsid w:val="00D93D79"/>
    <w:rsid w:val="00DA5F0B"/>
    <w:rsid w:val="00E03022"/>
    <w:rsid w:val="00E17256"/>
    <w:rsid w:val="00E20E56"/>
    <w:rsid w:val="00E417D0"/>
    <w:rsid w:val="00E54530"/>
    <w:rsid w:val="00E60FE3"/>
    <w:rsid w:val="00E66699"/>
    <w:rsid w:val="00E7636B"/>
    <w:rsid w:val="00E918EE"/>
    <w:rsid w:val="00EA7FBC"/>
    <w:rsid w:val="00EB2819"/>
    <w:rsid w:val="00EB355B"/>
    <w:rsid w:val="00EB4367"/>
    <w:rsid w:val="00EC1164"/>
    <w:rsid w:val="00EC1C8C"/>
    <w:rsid w:val="00EC20AE"/>
    <w:rsid w:val="00EC4572"/>
    <w:rsid w:val="00EC7E25"/>
    <w:rsid w:val="00ED02BE"/>
    <w:rsid w:val="00ED13B7"/>
    <w:rsid w:val="00ED540F"/>
    <w:rsid w:val="00EE483C"/>
    <w:rsid w:val="00EF1E9F"/>
    <w:rsid w:val="00EF3B66"/>
    <w:rsid w:val="00F02E01"/>
    <w:rsid w:val="00F12096"/>
    <w:rsid w:val="00F15F4A"/>
    <w:rsid w:val="00F56E88"/>
    <w:rsid w:val="00F6286B"/>
    <w:rsid w:val="00F660BD"/>
    <w:rsid w:val="00F80A98"/>
    <w:rsid w:val="00F937F1"/>
    <w:rsid w:val="00FB0B26"/>
    <w:rsid w:val="00FB2B4E"/>
    <w:rsid w:val="00FB5470"/>
    <w:rsid w:val="00FB54B7"/>
    <w:rsid w:val="00FC6132"/>
    <w:rsid w:val="00FD5A4F"/>
    <w:rsid w:val="00FF6D04"/>
    <w:rsid w:val="022219FA"/>
    <w:rsid w:val="026A5C74"/>
    <w:rsid w:val="0278632D"/>
    <w:rsid w:val="02C25881"/>
    <w:rsid w:val="04697A1A"/>
    <w:rsid w:val="054D1E6D"/>
    <w:rsid w:val="0796266C"/>
    <w:rsid w:val="080B2B96"/>
    <w:rsid w:val="082D268A"/>
    <w:rsid w:val="0855058A"/>
    <w:rsid w:val="085E7258"/>
    <w:rsid w:val="08FF209A"/>
    <w:rsid w:val="093E6004"/>
    <w:rsid w:val="09511B81"/>
    <w:rsid w:val="09CC4DF1"/>
    <w:rsid w:val="0AC46B15"/>
    <w:rsid w:val="0CDB396E"/>
    <w:rsid w:val="0D314E66"/>
    <w:rsid w:val="0D963232"/>
    <w:rsid w:val="0E3176E6"/>
    <w:rsid w:val="0E471F36"/>
    <w:rsid w:val="0E61583B"/>
    <w:rsid w:val="0E6D2AA6"/>
    <w:rsid w:val="0EE131DA"/>
    <w:rsid w:val="0FAE4E7B"/>
    <w:rsid w:val="103507FE"/>
    <w:rsid w:val="10B42E64"/>
    <w:rsid w:val="10C20BDE"/>
    <w:rsid w:val="10EB49F0"/>
    <w:rsid w:val="10F10A29"/>
    <w:rsid w:val="11220530"/>
    <w:rsid w:val="12054C5A"/>
    <w:rsid w:val="14FC1868"/>
    <w:rsid w:val="152A0CC7"/>
    <w:rsid w:val="16F26790"/>
    <w:rsid w:val="17716EB9"/>
    <w:rsid w:val="18B1316E"/>
    <w:rsid w:val="197863A4"/>
    <w:rsid w:val="19B024C8"/>
    <w:rsid w:val="1A3929F2"/>
    <w:rsid w:val="1B232C9C"/>
    <w:rsid w:val="1C9862CF"/>
    <w:rsid w:val="1CE43C8A"/>
    <w:rsid w:val="1DFC23DC"/>
    <w:rsid w:val="20281A25"/>
    <w:rsid w:val="20A27B39"/>
    <w:rsid w:val="20A774A8"/>
    <w:rsid w:val="20AC4E99"/>
    <w:rsid w:val="223D42C7"/>
    <w:rsid w:val="227E75E5"/>
    <w:rsid w:val="233A467C"/>
    <w:rsid w:val="23615928"/>
    <w:rsid w:val="23727D5B"/>
    <w:rsid w:val="240D4A99"/>
    <w:rsid w:val="24CF5440"/>
    <w:rsid w:val="25184D06"/>
    <w:rsid w:val="254F1D14"/>
    <w:rsid w:val="2602724B"/>
    <w:rsid w:val="263712D5"/>
    <w:rsid w:val="263B71BF"/>
    <w:rsid w:val="2686691D"/>
    <w:rsid w:val="2A574CBB"/>
    <w:rsid w:val="2BCE7EB7"/>
    <w:rsid w:val="2CB02E50"/>
    <w:rsid w:val="2D974544"/>
    <w:rsid w:val="2E35623B"/>
    <w:rsid w:val="2F3351A2"/>
    <w:rsid w:val="2F547060"/>
    <w:rsid w:val="30110809"/>
    <w:rsid w:val="31E85D09"/>
    <w:rsid w:val="352A11F5"/>
    <w:rsid w:val="39764963"/>
    <w:rsid w:val="39A72BA2"/>
    <w:rsid w:val="3A2D041D"/>
    <w:rsid w:val="3AF143D8"/>
    <w:rsid w:val="3CC21A1C"/>
    <w:rsid w:val="3D9F32B1"/>
    <w:rsid w:val="3DE75F30"/>
    <w:rsid w:val="3E9707DD"/>
    <w:rsid w:val="3FE353B9"/>
    <w:rsid w:val="40282598"/>
    <w:rsid w:val="40600552"/>
    <w:rsid w:val="40A9471F"/>
    <w:rsid w:val="413A127A"/>
    <w:rsid w:val="41B91637"/>
    <w:rsid w:val="42073DF3"/>
    <w:rsid w:val="431542ED"/>
    <w:rsid w:val="43A7354B"/>
    <w:rsid w:val="449000D0"/>
    <w:rsid w:val="463A1295"/>
    <w:rsid w:val="46A0180D"/>
    <w:rsid w:val="47637D1D"/>
    <w:rsid w:val="48D261C1"/>
    <w:rsid w:val="4A467479"/>
    <w:rsid w:val="4B5B1002"/>
    <w:rsid w:val="4BE83164"/>
    <w:rsid w:val="4BFA0712"/>
    <w:rsid w:val="4C597499"/>
    <w:rsid w:val="4CAA69AE"/>
    <w:rsid w:val="4DAA1065"/>
    <w:rsid w:val="4E3B3B03"/>
    <w:rsid w:val="512C1180"/>
    <w:rsid w:val="524F570D"/>
    <w:rsid w:val="53474623"/>
    <w:rsid w:val="53E775E0"/>
    <w:rsid w:val="540000E8"/>
    <w:rsid w:val="575E4F04"/>
    <w:rsid w:val="580E3142"/>
    <w:rsid w:val="584349F9"/>
    <w:rsid w:val="58C24C23"/>
    <w:rsid w:val="59326054"/>
    <w:rsid w:val="5943324D"/>
    <w:rsid w:val="59B330DC"/>
    <w:rsid w:val="5B322BEC"/>
    <w:rsid w:val="5C70386C"/>
    <w:rsid w:val="5CC901CB"/>
    <w:rsid w:val="5FF27DAA"/>
    <w:rsid w:val="61A54544"/>
    <w:rsid w:val="61E46D79"/>
    <w:rsid w:val="62212E39"/>
    <w:rsid w:val="626C6E3D"/>
    <w:rsid w:val="62B2513E"/>
    <w:rsid w:val="63C04E88"/>
    <w:rsid w:val="65853E9B"/>
    <w:rsid w:val="65B76572"/>
    <w:rsid w:val="65FB49E1"/>
    <w:rsid w:val="661C5989"/>
    <w:rsid w:val="663F6DF7"/>
    <w:rsid w:val="6648501B"/>
    <w:rsid w:val="68F914A1"/>
    <w:rsid w:val="698060B5"/>
    <w:rsid w:val="6A1F03B8"/>
    <w:rsid w:val="6BB72791"/>
    <w:rsid w:val="6C1D7DF1"/>
    <w:rsid w:val="6C1E7523"/>
    <w:rsid w:val="6C9F2CF6"/>
    <w:rsid w:val="6CA93CD7"/>
    <w:rsid w:val="6CC82A72"/>
    <w:rsid w:val="6D9D09E1"/>
    <w:rsid w:val="6DB0540A"/>
    <w:rsid w:val="6E156661"/>
    <w:rsid w:val="6E9F4320"/>
    <w:rsid w:val="6ED92188"/>
    <w:rsid w:val="6F2F65B3"/>
    <w:rsid w:val="70474DC3"/>
    <w:rsid w:val="709F6865"/>
    <w:rsid w:val="71706A0F"/>
    <w:rsid w:val="71CB5E83"/>
    <w:rsid w:val="724F6DE2"/>
    <w:rsid w:val="725C79BA"/>
    <w:rsid w:val="728F3D2C"/>
    <w:rsid w:val="72A71B76"/>
    <w:rsid w:val="72D00EF6"/>
    <w:rsid w:val="72D77697"/>
    <w:rsid w:val="73010267"/>
    <w:rsid w:val="74394FB6"/>
    <w:rsid w:val="74562C44"/>
    <w:rsid w:val="747D391D"/>
    <w:rsid w:val="74D9212C"/>
    <w:rsid w:val="74EC18C4"/>
    <w:rsid w:val="775C1F10"/>
    <w:rsid w:val="7AA5385A"/>
    <w:rsid w:val="7B076624"/>
    <w:rsid w:val="7B180D23"/>
    <w:rsid w:val="7BB35E76"/>
    <w:rsid w:val="7BB66D99"/>
    <w:rsid w:val="7BE01E7B"/>
    <w:rsid w:val="7DC7140E"/>
    <w:rsid w:val="7DDBF70A"/>
    <w:rsid w:val="7E4D3181"/>
    <w:rsid w:val="7E752688"/>
    <w:rsid w:val="7EAC6B72"/>
    <w:rsid w:val="7EFA5C8E"/>
    <w:rsid w:val="7F4A3003"/>
    <w:rsid w:val="BEEF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outlineLvl w:val="2"/>
    </w:pPr>
    <w:rPr>
      <w:rFonts w:ascii="楷体_GB2312" w:hAnsi="宋体" w:eastAsia="黑体"/>
      <w:b/>
      <w:bCs/>
      <w:sz w:val="32"/>
    </w:rPr>
  </w:style>
  <w:style w:type="paragraph" w:styleId="6">
    <w:name w:val="heading 4"/>
    <w:basedOn w:val="1"/>
    <w:next w:val="1"/>
    <w:qFormat/>
    <w:uiPriority w:val="0"/>
    <w:pPr>
      <w:keepNext/>
      <w:keepLines/>
      <w:spacing w:before="280" w:after="290" w:line="374" w:lineRule="auto"/>
      <w:outlineLvl w:val="3"/>
    </w:pPr>
    <w:rPr>
      <w:sz w:val="24"/>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ind w:firstLine="480"/>
    </w:pPr>
    <w:rPr>
      <w:rFonts w:ascii="楷体_GB2312" w:eastAsia="楷体_GB2312"/>
      <w:kern w:val="0"/>
    </w:rPr>
  </w:style>
  <w:style w:type="paragraph" w:styleId="7">
    <w:name w:val="Normal Indent"/>
    <w:basedOn w:val="1"/>
    <w:unhideWhenUsed/>
    <w:qFormat/>
    <w:uiPriority w:val="0"/>
    <w:pPr>
      <w:ind w:firstLine="420" w:firstLineChars="200"/>
    </w:pPr>
    <w:rPr>
      <w:rFonts w:ascii="Calibri" w:hAnsi="Calibri"/>
      <w:szCs w:val="22"/>
      <w:lang w:val="zh-CN"/>
    </w:rPr>
  </w:style>
  <w:style w:type="paragraph" w:styleId="8">
    <w:name w:val="toa heading"/>
    <w:basedOn w:val="1"/>
    <w:next w:val="1"/>
    <w:qFormat/>
    <w:uiPriority w:val="99"/>
    <w:pPr>
      <w:spacing w:before="120"/>
    </w:pPr>
    <w:rPr>
      <w:rFonts w:ascii="Arial" w:hAnsi="Arial"/>
      <w:sz w:val="24"/>
    </w:rPr>
  </w:style>
  <w:style w:type="paragraph" w:styleId="9">
    <w:name w:val="annotation text"/>
    <w:basedOn w:val="1"/>
    <w:next w:val="1"/>
    <w:link w:val="39"/>
    <w:unhideWhenUsed/>
    <w:qFormat/>
    <w:uiPriority w:val="99"/>
    <w:pPr>
      <w:jc w:val="left"/>
    </w:pPr>
  </w:style>
  <w:style w:type="paragraph" w:styleId="10">
    <w:name w:val="Body Text"/>
    <w:basedOn w:val="1"/>
    <w:next w:val="1"/>
    <w:unhideWhenUsed/>
    <w:qFormat/>
    <w:uiPriority w:val="99"/>
  </w:style>
  <w:style w:type="paragraph" w:styleId="11">
    <w:name w:val="Body Text Indent"/>
    <w:basedOn w:val="1"/>
    <w:next w:val="12"/>
    <w:qFormat/>
    <w:uiPriority w:val="0"/>
    <w:pPr>
      <w:spacing w:line="360" w:lineRule="auto"/>
      <w:ind w:left="425" w:firstLine="518" w:firstLineChars="216"/>
    </w:pPr>
    <w:rPr>
      <w:rFonts w:ascii="楷体_GB2312" w:eastAsia="楷体_GB2312"/>
      <w:sz w:val="24"/>
    </w:rPr>
  </w:style>
  <w:style w:type="paragraph" w:styleId="12">
    <w:name w:val="Body Text First Indent 2"/>
    <w:basedOn w:val="11"/>
    <w:next w:val="13"/>
    <w:unhideWhenUsed/>
    <w:qFormat/>
    <w:uiPriority w:val="99"/>
    <w:pPr>
      <w:ind w:firstLine="420" w:firstLineChars="200"/>
    </w:pPr>
  </w:style>
  <w:style w:type="paragraph" w:styleId="13">
    <w:name w:val="Body Text First Indent"/>
    <w:basedOn w:val="10"/>
    <w:qFormat/>
    <w:uiPriority w:val="0"/>
    <w:pPr>
      <w:adjustRightInd w:val="0"/>
      <w:snapToGrid w:val="0"/>
      <w:spacing w:before="40" w:after="40"/>
      <w:ind w:firstLine="200" w:firstLineChars="200"/>
    </w:pPr>
    <w:rPr>
      <w:sz w:val="24"/>
    </w:rPr>
  </w:style>
  <w:style w:type="paragraph" w:styleId="14">
    <w:name w:val="toc 3"/>
    <w:basedOn w:val="1"/>
    <w:next w:val="1"/>
    <w:semiHidden/>
    <w:unhideWhenUsed/>
    <w:qFormat/>
    <w:uiPriority w:val="39"/>
    <w:pPr>
      <w:ind w:left="840" w:leftChars="400"/>
    </w:pPr>
  </w:style>
  <w:style w:type="paragraph" w:styleId="15">
    <w:name w:val="Balloon Text"/>
    <w:basedOn w:val="1"/>
    <w:link w:val="36"/>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annotation subject"/>
    <w:basedOn w:val="9"/>
    <w:next w:val="9"/>
    <w:link w:val="40"/>
    <w:semiHidden/>
    <w:unhideWhenUsed/>
    <w:qFormat/>
    <w:uiPriority w:val="99"/>
    <w:rPr>
      <w:b/>
      <w:bCs/>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Yu Mincho Light" w:hAnsi="Times New Roman" w:eastAsia="Yu Mincho Light" w:cs="Yu Mincho Light"/>
      <w:sz w:val="21"/>
      <w:szCs w:val="21"/>
      <w:lang w:val="en-US" w:eastAsia="zh-CN" w:bidi="ar-SA"/>
    </w:rPr>
  </w:style>
  <w:style w:type="paragraph" w:customStyle="1" w:styleId="31">
    <w:name w:val="段"/>
    <w:next w:val="1"/>
    <w:qFormat/>
    <w:uiPriority w:val="0"/>
    <w:pPr>
      <w:autoSpaceDE w:val="0"/>
      <w:autoSpaceDN w:val="0"/>
      <w:ind w:firstLine="200" w:firstLineChars="200"/>
      <w:jc w:val="both"/>
    </w:pPr>
    <w:rPr>
      <w:rFonts w:ascii="黑体" w:hAnsi="Times New Roman" w:eastAsia="宋体" w:cs="Times New Roman"/>
      <w:sz w:val="21"/>
      <w:szCs w:val="22"/>
      <w:lang w:val="en-US" w:eastAsia="zh-CN" w:bidi="ar-SA"/>
    </w:rPr>
  </w:style>
  <w:style w:type="paragraph" w:customStyle="1" w:styleId="32">
    <w:name w:val="正文正"/>
    <w:basedOn w:val="33"/>
    <w:qFormat/>
    <w:uiPriority w:val="99"/>
    <w:pPr>
      <w:spacing w:line="560" w:lineRule="exact"/>
      <w:ind w:firstLine="561"/>
    </w:pPr>
    <w:rPr>
      <w:rFonts w:ascii="Calibri" w:hAnsi="Calibri" w:cs="Calibri"/>
      <w:sz w:val="28"/>
      <w:szCs w:val="28"/>
    </w:rPr>
  </w:style>
  <w:style w:type="paragraph" w:customStyle="1" w:styleId="33">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customStyle="1" w:styleId="34">
    <w:name w:val="页眉 字符"/>
    <w:basedOn w:val="24"/>
    <w:link w:val="17"/>
    <w:qFormat/>
    <w:uiPriority w:val="99"/>
    <w:rPr>
      <w:sz w:val="18"/>
      <w:szCs w:val="18"/>
    </w:rPr>
  </w:style>
  <w:style w:type="character" w:customStyle="1" w:styleId="35">
    <w:name w:val="页脚 字符"/>
    <w:basedOn w:val="24"/>
    <w:link w:val="16"/>
    <w:qFormat/>
    <w:uiPriority w:val="99"/>
    <w:rPr>
      <w:sz w:val="18"/>
      <w:szCs w:val="18"/>
    </w:rPr>
  </w:style>
  <w:style w:type="character" w:customStyle="1" w:styleId="36">
    <w:name w:val="批注框文本 字符"/>
    <w:basedOn w:val="24"/>
    <w:link w:val="15"/>
    <w:semiHidden/>
    <w:qFormat/>
    <w:uiPriority w:val="99"/>
    <w:rPr>
      <w:sz w:val="18"/>
      <w:szCs w:val="18"/>
    </w:rPr>
  </w:style>
  <w:style w:type="paragraph" w:styleId="37">
    <w:name w:val="List Paragraph"/>
    <w:basedOn w:val="1"/>
    <w:qFormat/>
    <w:uiPriority w:val="34"/>
    <w:pPr>
      <w:ind w:firstLine="420" w:firstLineChars="200"/>
    </w:pPr>
    <w:rPr>
      <w:rFonts w:eastAsia="黑体"/>
      <w:bCs/>
      <w:sz w:val="30"/>
      <w:szCs w:val="30"/>
    </w:rPr>
  </w:style>
  <w:style w:type="paragraph" w:customStyle="1" w:styleId="3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9">
    <w:name w:val="批注文字 字符"/>
    <w:basedOn w:val="24"/>
    <w:link w:val="9"/>
    <w:qFormat/>
    <w:uiPriority w:val="99"/>
    <w:rPr>
      <w:rFonts w:asciiTheme="minorHAnsi" w:hAnsiTheme="minorHAnsi" w:eastAsiaTheme="minorEastAsia" w:cstheme="minorBidi"/>
      <w:kern w:val="2"/>
      <w:sz w:val="21"/>
      <w:szCs w:val="24"/>
    </w:rPr>
  </w:style>
  <w:style w:type="character" w:customStyle="1" w:styleId="40">
    <w:name w:val="批注主题 字符"/>
    <w:basedOn w:val="39"/>
    <w:link w:val="21"/>
    <w:semiHidden/>
    <w:qFormat/>
    <w:uiPriority w:val="99"/>
    <w:rPr>
      <w:rFonts w:asciiTheme="minorHAnsi" w:hAnsiTheme="minorHAnsi" w:eastAsiaTheme="minorEastAsia" w:cstheme="minorBidi"/>
      <w:b/>
      <w:bCs/>
      <w:kern w:val="2"/>
      <w:sz w:val="21"/>
      <w:szCs w:val="24"/>
    </w:rPr>
  </w:style>
  <w:style w:type="character" w:customStyle="1" w:styleId="41">
    <w:name w:val="标题 1 字符"/>
    <w:basedOn w:val="24"/>
    <w:link w:val="3"/>
    <w:qFormat/>
    <w:uiPriority w:val="9"/>
    <w:rPr>
      <w:rFonts w:asciiTheme="minorHAnsi" w:hAnsiTheme="minorHAnsi" w:eastAsiaTheme="minorEastAsia" w:cstheme="minorBidi"/>
      <w:b/>
      <w:bCs/>
      <w:kern w:val="44"/>
      <w:sz w:val="44"/>
      <w:szCs w:val="44"/>
    </w:rPr>
  </w:style>
  <w:style w:type="character" w:customStyle="1" w:styleId="42">
    <w:name w:val="未处理的提及1"/>
    <w:basedOn w:val="24"/>
    <w:semiHidden/>
    <w:unhideWhenUsed/>
    <w:qFormat/>
    <w:uiPriority w:val="99"/>
    <w:rPr>
      <w:color w:val="605E5C"/>
      <w:shd w:val="clear" w:color="auto" w:fill="E1DFDD"/>
    </w:rPr>
  </w:style>
  <w:style w:type="paragraph" w:customStyle="1" w:styleId="43">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宋体" w:hAnsi="宋体" w:eastAsia="宋体" w:cs="Times New Roman"/>
      <w:kern w:val="16"/>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宋体" w:hAnsi="宋体" w:eastAsia="宋体" w:cs="Times New Roman"/>
      <w:kern w:val="16"/>
      <w:sz w:val="21"/>
      <w:szCs w:val="24"/>
      <w:lang w:val="en-US" w:eastAsia="zh-CN" w:bidi="ar-SA"/>
    </w:rPr>
  </w:style>
  <w:style w:type="character" w:customStyle="1" w:styleId="47">
    <w:name w:val="NormalCharacter"/>
    <w:semiHidden/>
    <w:qFormat/>
    <w:uiPriority w:val="0"/>
    <w:rPr>
      <w:rFonts w:ascii="Calibri" w:hAnsi="Calibri" w:eastAsia="宋体" w:cs="Times New Roman"/>
      <w:kern w:val="2"/>
      <w:sz w:val="21"/>
      <w:szCs w:val="24"/>
      <w:lang w:val="en-US" w:eastAsia="zh-CN" w:bidi="ar-SA"/>
    </w:rPr>
  </w:style>
  <w:style w:type="paragraph" w:customStyle="1" w:styleId="48">
    <w:name w:val="正文缩进 New"/>
    <w:basedOn w:val="49"/>
    <w:qFormat/>
    <w:uiPriority w:val="0"/>
    <w:pPr>
      <w:widowControl/>
      <w:ind w:firstLine="420"/>
      <w:jc w:val="left"/>
    </w:pPr>
    <w:rPr>
      <w:rFonts w:ascii="Calibri"/>
      <w:kern w:val="0"/>
      <w:sz w:val="20"/>
    </w:rPr>
  </w:style>
  <w:style w:type="paragraph" w:customStyle="1" w:styleId="49">
    <w:name w:val="正文 New New New New New New New New New New New New New New New New New New New New New New New New New New New New New New New"/>
    <w:qFormat/>
    <w:uiPriority w:val="0"/>
    <w:pPr>
      <w:widowControl w:val="0"/>
      <w:spacing w:line="360" w:lineRule="auto"/>
      <w:jc w:val="both"/>
    </w:pPr>
    <w:rPr>
      <w:rFonts w:ascii="宋体" w:hAnsi="Calibri"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SMET</Company>
  <Pages>4</Pages>
  <Words>2626</Words>
  <Characters>2795</Characters>
  <Lines>26</Lines>
  <Paragraphs>7</Paragraphs>
  <TotalTime>0</TotalTime>
  <ScaleCrop>false</ScaleCrop>
  <LinksUpToDate>false</LinksUpToDate>
  <CharactersWithSpaces>2839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2021-08-06T00:55:00Z</dcterms:created>
  <dc:creator>River</dc:creator>
  <cp:lastModifiedBy>Cf</cp:lastModifiedBy>
  <cp:lastPrinted>2021-08-04T22:09:00Z</cp:lastPrinted>
  <dcterms:modified xsi:type="dcterms:W3CDTF">2025-03-05T06:31:47Z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365A33E0336F43D5936B3DD9CFCB2BBF_13</vt:lpwstr>
  </property>
  <property fmtid="{D5CDD505-2E9C-101B-9397-08002B2CF9AE}" pid="4" name="KSOTemplateDocerSaveRecord">
    <vt:lpwstr>eyJoZGlkIjoiNzNjYTU4N2I4YzE2YjM5NjM2YjM3OTAwNmM2ZTljM2UiLCJ1c2VySWQiOiIzMzQzMTk4OTkifQ==</vt:lpwstr>
  </property>
</Properties>
</file>